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Chars="0"/>
        <w:jc w:val="both"/>
        <w:textAlignment w:val="baseline"/>
        <w:rPr>
          <w:rStyle w:val="7"/>
          <w:rFonts w:ascii="黑体" w:hAnsi="黑体" w:eastAsia="黑体"/>
          <w:b w:val="0"/>
          <w:bCs w:val="0"/>
          <w:color w:val="000000"/>
          <w:kern w:val="2"/>
          <w:sz w:val="32"/>
          <w:szCs w:val="32"/>
          <w:lang w:val="en-US" w:eastAsia="zh-CN" w:bidi="ar-SA"/>
        </w:rPr>
      </w:pPr>
      <w:bookmarkStart w:id="0" w:name="_GoBack"/>
      <w:bookmarkEnd w:id="0"/>
      <w:r>
        <w:rPr>
          <w:rStyle w:val="7"/>
          <w:rFonts w:ascii="黑体" w:hAnsi="黑体" w:eastAsia="黑体"/>
          <w:b w:val="0"/>
          <w:bCs w:val="0"/>
          <w:color w:val="000000"/>
          <w:kern w:val="2"/>
          <w:sz w:val="32"/>
          <w:szCs w:val="32"/>
          <w:lang w:val="en-US" w:eastAsia="zh-CN" w:bidi="ar-SA"/>
        </w:rPr>
        <w:t>附</w:t>
      </w:r>
      <w:r>
        <w:rPr>
          <w:rStyle w:val="7"/>
          <w:rFonts w:ascii="黑体" w:hAnsi="黑体" w:eastAsia="黑体"/>
          <w:b w:val="0"/>
          <w:bCs w:val="0"/>
          <w:color w:val="000000"/>
          <w:kern w:val="2"/>
          <w:sz w:val="32"/>
          <w:szCs w:val="32"/>
          <w:lang w:val="en-US" w:eastAsia="zh-CN" w:bidi="ar-SA"/>
        </w:rPr>
        <w:t>件</w:t>
      </w:r>
    </w:p>
    <w:p>
      <w:pPr>
        <w:spacing w:line="240" w:lineRule="auto"/>
        <w:jc w:val="both"/>
        <w:textAlignment w:val="baseline"/>
        <w:rPr>
          <w:rStyle w:val="7"/>
          <w:rFonts w:ascii="仿宋_GB2312" w:hAnsi="仿宋_GB2312" w:eastAsia="仿宋_GB2312"/>
          <w:b w:val="0"/>
          <w:bCs w:val="0"/>
          <w:color w:val="000000"/>
          <w:kern w:val="2"/>
          <w:sz w:val="32"/>
          <w:szCs w:val="32"/>
          <w:lang w:val="en-US" w:eastAsia="zh-CN" w:bidi="ar-SA"/>
        </w:rPr>
      </w:pPr>
    </w:p>
    <w:p>
      <w:pPr>
        <w:spacing w:line="720" w:lineRule="exact"/>
        <w:jc w:val="center"/>
        <w:textAlignment w:val="baseline"/>
        <w:rPr>
          <w:rStyle w:val="7"/>
          <w:rFonts w:ascii="方正小标宋简体" w:hAnsi="方正小标宋简体" w:eastAsia="方正小标宋简体"/>
          <w:b w:val="0"/>
          <w:bCs w:val="0"/>
          <w:color w:val="000000"/>
          <w:kern w:val="2"/>
          <w:sz w:val="44"/>
          <w:szCs w:val="44"/>
          <w:lang w:val="en-US" w:eastAsia="zh-CN" w:bidi="ar-SA"/>
        </w:rPr>
      </w:pPr>
      <w:r>
        <w:rPr>
          <w:rStyle w:val="7"/>
          <w:rFonts w:ascii="方正小标宋简体" w:hAnsi="方正小标宋简体" w:eastAsia="方正小标宋简体"/>
          <w:b w:val="0"/>
          <w:bCs w:val="0"/>
          <w:color w:val="000000"/>
          <w:kern w:val="2"/>
          <w:sz w:val="44"/>
          <w:szCs w:val="44"/>
          <w:lang w:val="en-US" w:eastAsia="zh-CN" w:bidi="ar-SA"/>
        </w:rPr>
        <w:t>广西化工园区（第一批）</w:t>
      </w:r>
    </w:p>
    <w:p>
      <w:pPr>
        <w:spacing w:line="720" w:lineRule="exact"/>
        <w:jc w:val="center"/>
        <w:textAlignment w:val="baseline"/>
        <w:rPr>
          <w:rStyle w:val="7"/>
          <w:rFonts w:ascii="方正小标宋简体" w:hAnsi="方正小标宋简体" w:eastAsia="方正小标宋简体"/>
          <w:b w:val="0"/>
          <w:bCs w:val="0"/>
          <w:color w:val="000000"/>
          <w:kern w:val="2"/>
          <w:sz w:val="44"/>
          <w:szCs w:val="44"/>
          <w:lang w:val="en-US" w:eastAsia="zh-CN" w:bidi="ar-SA"/>
        </w:rPr>
      </w:pPr>
    </w:p>
    <w:tbl>
      <w:tblPr>
        <w:tblStyle w:val="9"/>
        <w:tblW w:w="8500" w:type="dxa"/>
        <w:tblInd w:w="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8"/>
        <w:gridCol w:w="1250"/>
        <w:gridCol w:w="1562"/>
        <w:gridCol w:w="2713"/>
        <w:gridCol w:w="1312"/>
        <w:gridCol w:w="1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0" w:hRule="atLeast"/>
          <w:tblHeader/>
        </w:trPr>
        <w:tc>
          <w:tcPr>
            <w:tcW w:w="5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序号</w:t>
            </w: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化工园区（化工集中区）名称</w:t>
            </w:r>
          </w:p>
        </w:tc>
        <w:tc>
          <w:tcPr>
            <w:tcW w:w="156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化工园区（化工集中区）现有规划面积</w:t>
            </w:r>
          </w:p>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(平方公里）</w:t>
            </w:r>
          </w:p>
        </w:tc>
        <w:tc>
          <w:tcPr>
            <w:tcW w:w="27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化工园区（化工集中区）</w:t>
            </w:r>
          </w:p>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现有规划四至范围</w:t>
            </w:r>
          </w:p>
        </w:tc>
        <w:tc>
          <w:tcPr>
            <w:tcW w:w="131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化工产业</w:t>
            </w:r>
          </w:p>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发展方向</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5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1</w:t>
            </w: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柳城县工业区——六塘片区</w:t>
            </w:r>
          </w:p>
        </w:tc>
        <w:tc>
          <w:tcPr>
            <w:tcW w:w="156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3.43</w:t>
            </w:r>
          </w:p>
        </w:tc>
        <w:tc>
          <w:tcPr>
            <w:tcW w:w="27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园区四至范围：北面以银村河为界，南面和西面以广西柳城县川东化工有限公司和磷肥厂宿舍的边界为界，东面以花山为界。</w:t>
            </w:r>
          </w:p>
        </w:tc>
        <w:tc>
          <w:tcPr>
            <w:tcW w:w="131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氯碱及下游深加工、医药中间体、农药中间体、染料中间体等精细化工产业。</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5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2</w:t>
            </w: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广西鹿寨经济开发区化工园区</w:t>
            </w:r>
          </w:p>
        </w:tc>
        <w:tc>
          <w:tcPr>
            <w:tcW w:w="156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2.53</w:t>
            </w:r>
          </w:p>
        </w:tc>
        <w:tc>
          <w:tcPr>
            <w:tcW w:w="27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园区四至范围：南至湘桂铁路，东至创园二路和纵十三路，北至滨江南路和建中西路，西至新胜大道和纵十五路。</w:t>
            </w:r>
          </w:p>
        </w:tc>
        <w:tc>
          <w:tcPr>
            <w:tcW w:w="131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氯碱及下游精细化工、功能涂料与胶黏剂产业、生物化工产业等。</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5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3</w:t>
            </w: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北海市铁山港（临海）工业区石化产业园</w:t>
            </w:r>
          </w:p>
        </w:tc>
        <w:tc>
          <w:tcPr>
            <w:tcW w:w="156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36.55</w:t>
            </w:r>
          </w:p>
        </w:tc>
        <w:tc>
          <w:tcPr>
            <w:tcW w:w="27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包含滨海码头片区和炼化片区。滨海片区位于园区最南端，南北两侧分别为海域和滨海公路；炼化片为石化产业园核心区，位于中部区域、东南西北四面分别为工业区主干道：经十一路、滨海公路、经四路和北铁公路。</w:t>
            </w:r>
          </w:p>
        </w:tc>
        <w:tc>
          <w:tcPr>
            <w:tcW w:w="131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炼化一体化及烯烃、芳烃、碳四深加工产业、化工新材料、化肥及相关产业。</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5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4</w:t>
            </w: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防城港经济技术开发区化工园区</w:t>
            </w:r>
          </w:p>
        </w:tc>
        <w:tc>
          <w:tcPr>
            <w:tcW w:w="156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2.5</w:t>
            </w:r>
          </w:p>
        </w:tc>
        <w:tc>
          <w:tcPr>
            <w:tcW w:w="27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园区由大西南临港工业园化工园区和企沙工业区化工园区两个区域组成。其中：大西南化工园规划总占地面积1.4平方公里。</w:t>
            </w:r>
          </w:p>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园区四至范围：东至沙企一级路、西至青草坪路、南至榕木江大道、北至沙港路；企沙化工园规划总占地面积1.1平方公里，四至范围：东至云约江大道、西至云约江作业区、南至中电高压走廊、北至云约江南路。</w:t>
            </w:r>
          </w:p>
        </w:tc>
        <w:tc>
          <w:tcPr>
            <w:tcW w:w="131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磷化工、化工新材料、煤焦油综合利用。</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5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5</w:t>
            </w: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钦州石化产业园</w:t>
            </w:r>
          </w:p>
        </w:tc>
        <w:tc>
          <w:tcPr>
            <w:tcW w:w="156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51.77</w:t>
            </w:r>
          </w:p>
        </w:tc>
        <w:tc>
          <w:tcPr>
            <w:tcW w:w="27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both"/>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四至范围：园区东部临金鼓江，西面临钦州港经济技术开发区中心商贸区，南部临海，西北部临鸡笼山、东北部与中马产业园相邻。</w:t>
            </w:r>
          </w:p>
        </w:tc>
        <w:tc>
          <w:tcPr>
            <w:tcW w:w="131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以炼化一体化为核心发展新型盐化工、现代煤化工、专用化学品、功能化学品和化工新材料产业。</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园区规划面积及四至范围依据《广西钦州石化产业园总体发展规划》（2018年）确定。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5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6</w:t>
            </w: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钦州高端医药精细化工产业园</w:t>
            </w:r>
          </w:p>
        </w:tc>
        <w:tc>
          <w:tcPr>
            <w:tcW w:w="156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3.96</w:t>
            </w:r>
          </w:p>
        </w:tc>
        <w:tc>
          <w:tcPr>
            <w:tcW w:w="27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both"/>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园区四至范围：东至纱帽大道，南至大垌二十路（百浪岭脚），西方至凤凰岭，北至大垌六路。</w:t>
            </w:r>
          </w:p>
        </w:tc>
        <w:tc>
          <w:tcPr>
            <w:tcW w:w="131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化学原料药及中间体等医药产业、有机酸、石化原料深加工、功能化学品、化工新材料。</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5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7</w:t>
            </w: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贵港市覃塘区新材料科技园</w:t>
            </w:r>
          </w:p>
        </w:tc>
        <w:tc>
          <w:tcPr>
            <w:tcW w:w="156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10.77</w:t>
            </w:r>
          </w:p>
        </w:tc>
        <w:tc>
          <w:tcPr>
            <w:tcW w:w="27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园区四至范围：北至黎湛铁路及西外环连接线，东至209国道及规划袁屋路，西至西外环高速公路，南至义渡江。</w:t>
            </w:r>
          </w:p>
        </w:tc>
        <w:tc>
          <w:tcPr>
            <w:tcW w:w="131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精细化工及新材料，以胶黏剂、涂料、中间体、助剂、环保新材料为主。</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5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8</w:t>
            </w: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广西田东石化工业园区</w:t>
            </w:r>
          </w:p>
        </w:tc>
        <w:tc>
          <w:tcPr>
            <w:tcW w:w="156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20.84</w:t>
            </w:r>
          </w:p>
        </w:tc>
        <w:tc>
          <w:tcPr>
            <w:tcW w:w="27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both"/>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园区四至范围：北至北四路，东至东三路，南至科技大道、横山大道，西至西厂路、锦江大道、南昆铁路、石化西路。</w:t>
            </w:r>
          </w:p>
        </w:tc>
        <w:tc>
          <w:tcPr>
            <w:tcW w:w="131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氯碱及下游精细化工、氟硅化工、化工新材料、化学原料药及中间体。</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5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9</w:t>
            </w: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河池市工业园区大任产业园化工园区</w:t>
            </w:r>
          </w:p>
        </w:tc>
        <w:tc>
          <w:tcPr>
            <w:tcW w:w="156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4.7532</w:t>
            </w:r>
          </w:p>
        </w:tc>
        <w:tc>
          <w:tcPr>
            <w:tcW w:w="27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both"/>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1）大任片区总用地面积约3.815平方公里，位于大任组团南部，东至鑫源路，南至任宜东路，西至兴河路与大任西路交接处，北至工业路与金任路交接处。大任片区规划化工园区范围内现状无居民点，且与周边居民点均保持 500 米以上防护距离。</w:t>
            </w:r>
          </w:p>
          <w:p>
            <w:pPr>
              <w:spacing w:line="320" w:lineRule="exact"/>
              <w:jc w:val="both"/>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（2）河化片区总用地面积约 0.9382平方公里。河化片区化工园区主要位于河化南部组团，东至水泥厂西侧，南至采石场北侧，西至河化生活区南侧，北至邕房屯500m防护距离南缘。</w:t>
            </w:r>
          </w:p>
        </w:tc>
        <w:tc>
          <w:tcPr>
            <w:tcW w:w="131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大任片区重点发展有机化学原料、催化剂、中间体、高分子材料等精细化工产业。</w:t>
            </w:r>
          </w:p>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河化片区发展化肥延伸产品、蒽醌系产品、 染料中间体、无水三氯化铝、硫酸镁等精细化工产品、氢氧化锂等新材料产品、医药中间体。</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5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10</w:t>
            </w: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广西中国-东盟青年产业园化工集中区</w:t>
            </w:r>
          </w:p>
        </w:tc>
        <w:tc>
          <w:tcPr>
            <w:tcW w:w="156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12.6</w:t>
            </w:r>
          </w:p>
        </w:tc>
        <w:tc>
          <w:tcPr>
            <w:tcW w:w="27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A区10.51平方公里（东起纵十二路，西至纵一路，南起铜业大道，北至真龙路。）</w:t>
            </w:r>
          </w:p>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B区2.09平方公里（东起规划一路，西至规划二路，南起铜业大道，北至横四路。）</w:t>
            </w:r>
          </w:p>
        </w:tc>
        <w:tc>
          <w:tcPr>
            <w:tcW w:w="131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磷化工、钛化工、食品级磷酸、磷酸及硫酸的综合利用。</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该园区名称为暂定名称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trPr>
        <w:tc>
          <w:tcPr>
            <w:tcW w:w="5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11</w:t>
            </w: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中国—泰国崇左产业园化工集中区</w:t>
            </w:r>
          </w:p>
        </w:tc>
        <w:tc>
          <w:tcPr>
            <w:tcW w:w="156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6.9448</w:t>
            </w:r>
          </w:p>
        </w:tc>
        <w:tc>
          <w:tcPr>
            <w:tcW w:w="27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规划范围包括北片区、南片区两部分区域。</w:t>
            </w:r>
          </w:p>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其中：北片区北起纬三东路、西起经东一路、东至经东七路、南至第三污水处理厂，规划用地面积4.5185平方公里；南片区分为两块，西侧地块主要为经十路，纬东十路、工业大道、响水河围成的小块地块，东侧地块北起工业大道、西起经东一路、东至工业大道东段、南至纬东十二路，两块合计规划用地面积2.4263平方公里。</w:t>
            </w:r>
          </w:p>
        </w:tc>
        <w:tc>
          <w:tcPr>
            <w:tcW w:w="131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r>
              <w:rPr>
                <w:rStyle w:val="7"/>
                <w:rFonts w:ascii="仿宋_GB2312" w:hAnsi="仿宋_GB2312" w:eastAsia="仿宋_GB2312"/>
                <w:b w:val="0"/>
                <w:bCs w:val="0"/>
                <w:kern w:val="2"/>
                <w:sz w:val="24"/>
                <w:szCs w:val="32"/>
                <w:lang w:val="en-US" w:eastAsia="zh-CN" w:bidi="ar-SA"/>
              </w:rPr>
              <w:t>糖蜜下游深加工、林产及建材化工产业、化工新材料、化学原料药及中间体。</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baseline"/>
              <w:rPr>
                <w:rStyle w:val="7"/>
                <w:rFonts w:ascii="仿宋_GB2312" w:hAnsi="仿宋_GB2312" w:eastAsia="仿宋_GB2312"/>
                <w:b w:val="0"/>
                <w:bCs w:val="0"/>
                <w:kern w:val="2"/>
                <w:sz w:val="24"/>
                <w:szCs w:val="32"/>
                <w:lang w:val="en-US" w:eastAsia="zh-CN" w:bidi="ar-SA"/>
              </w:rPr>
            </w:pPr>
          </w:p>
        </w:tc>
      </w:tr>
    </w:tbl>
    <w:p>
      <w:pPr>
        <w:spacing w:line="320" w:lineRule="exact"/>
        <w:ind w:firstLine="658"/>
        <w:jc w:val="both"/>
        <w:textAlignment w:val="baseline"/>
        <w:rPr>
          <w:rStyle w:val="7"/>
          <w:rFonts w:eastAsia="仿宋_GB2312"/>
          <w:b w:val="0"/>
          <w:bCs w:val="0"/>
          <w:kern w:val="2"/>
          <w:sz w:val="24"/>
          <w:szCs w:val="32"/>
          <w:lang w:val="en-US" w:eastAsia="zh-CN" w:bidi="ar-SA"/>
        </w:rPr>
      </w:pPr>
    </w:p>
    <w:p>
      <w:pPr>
        <w:spacing w:line="320" w:lineRule="exact"/>
        <w:jc w:val="both"/>
        <w:textAlignment w:val="baseline"/>
        <w:rPr>
          <w:rStyle w:val="7"/>
          <w:rFonts w:eastAsia="仿宋_GB2312"/>
          <w:b w:val="0"/>
          <w:bCs w:val="0"/>
          <w:kern w:val="2"/>
          <w:sz w:val="24"/>
          <w:szCs w:val="28"/>
          <w:lang w:val="en-US" w:eastAsia="zh-CN" w:bidi="ar-SA"/>
        </w:rPr>
      </w:pPr>
    </w:p>
    <w:sectPr>
      <w:footerReference r:id="rId3" w:type="default"/>
      <w:footerReference r:id="rId4" w:type="even"/>
      <w:pgSz w:w="11906" w:h="16838"/>
      <w:pgMar w:top="1417" w:right="1588" w:bottom="1417" w:left="1701" w:header="851" w:footer="992" w:gutter="0"/>
      <w:paperSrc/>
      <w:lnNumType w:countBy="0"/>
      <w:cols w:space="425" w:num="1"/>
      <w:vAlign w:val="top"/>
      <w:docGrid w:type="linesAndChars" w:linePitch="636" w:charSpace="138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ind w:right="360" w:firstLine="360"/>
      <w:jc w:val="left"/>
      <w:textAlignment w:val="baseline"/>
      <w:rPr>
        <w:rStyle w:val="7"/>
        <w:rFonts w:eastAsia="仿宋_GB2312"/>
        <w:kern w:val="2"/>
        <w:sz w:val="18"/>
        <w:szCs w:val="18"/>
        <w:lang w:val="en-US" w:eastAsia="zh-CN" w:bidi="ar-SA"/>
      </w:rPr>
    </w:pPr>
    <w:r>
      <w:rPr>
        <w:rStyle w:val="7"/>
        <w:rFonts w:eastAsia="仿宋_GB2312"/>
        <w:kern w:val="2"/>
        <w:sz w:val="18"/>
        <w:szCs w:val="18"/>
        <w:lang w:val="en-US" w:eastAsia="zh-CN" w:bidi="ar-SA"/>
      </w:rPr>
      <w:pict>
        <v:shape id="_x0000_s2050" o:spid="_x0000_s2050" o:spt="202" type="#_x0000_t202" style="position:absolute;left:0pt;margin-top:0pt;height:144pt;width:144pt;mso-position-horizontal:outside;mso-position-horizontal-relative:margin;z-index:525312;mso-width-relative:page;mso-height-relative:page;" filled="f" stroked="f" coordsize="21600,21600">
          <v:path/>
          <v:fill on="f" focussize="0,0"/>
          <v:stroke on="f"/>
          <v:imagedata o:title=""/>
          <o:lock v:ext="edit"/>
          <v:textbox inset="0mm,0mm,0mm,0mm">
            <w:txbxContent>
              <w:p>
                <w:pPr>
                  <w:pStyle w:val="3"/>
                  <w:widowControl/>
                  <w:snapToGrid w:val="0"/>
                  <w:jc w:val="left"/>
                  <w:textAlignment w:val="baseline"/>
                  <w:rPr>
                    <w:rStyle w:val="12"/>
                    <w:rFonts w:ascii="宋体" w:hAnsi="宋体" w:eastAsia="宋体"/>
                    <w:kern w:val="2"/>
                    <w:sz w:val="28"/>
                    <w:szCs w:val="28"/>
                    <w:lang w:val="en-US" w:eastAsia="zh-CN" w:bidi="ar-SA"/>
                  </w:rPr>
                </w:pPr>
              </w:p>
              <w:p>
                <w:pPr>
                  <w:jc w:val="both"/>
                  <w:textAlignment w:val="baseline"/>
                  <w:rPr>
                    <w:rStyle w:val="7"/>
                    <w:rFonts w:eastAsia="仿宋_GB2312"/>
                    <w:kern w:val="2"/>
                    <w:sz w:val="24"/>
                    <w:szCs w:val="32"/>
                    <w:lang w:val="en-US" w:eastAsia="zh-CN" w:bidi="ar-SA"/>
                  </w:rPr>
                </w:pPr>
              </w:p>
              <w:p>
                <w:pPr>
                  <w:jc w:val="both"/>
                  <w:textAlignment w:val="baseline"/>
                  <w:rPr>
                    <w:rStyle w:val="7"/>
                    <w:rFonts w:eastAsia="仿宋_GB2312"/>
                    <w:kern w:val="2"/>
                    <w:sz w:val="24"/>
                    <w:szCs w:val="32"/>
                    <w:lang w:val="en-US" w:eastAsia="zh-CN" w:bidi="ar-SA"/>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outside" w:y="1"/>
      <w:widowControl/>
      <w:snapToGrid w:val="0"/>
      <w:jc w:val="left"/>
      <w:textAlignment w:val="baseline"/>
      <w:rPr>
        <w:rStyle w:val="12"/>
        <w:rFonts w:eastAsia="仿宋_GB2312"/>
        <w:kern w:val="2"/>
        <w:sz w:val="18"/>
        <w:szCs w:val="18"/>
        <w:lang w:val="en-US" w:eastAsia="zh-CN" w:bidi="ar-SA"/>
      </w:rPr>
    </w:pPr>
  </w:p>
  <w:p>
    <w:pPr>
      <w:pStyle w:val="3"/>
      <w:widowControl/>
      <w:snapToGrid w:val="0"/>
      <w:ind w:right="360" w:firstLine="360"/>
      <w:jc w:val="left"/>
      <w:textAlignment w:val="baseline"/>
      <w:rPr>
        <w:rStyle w:val="7"/>
        <w:rFonts w:eastAsia="仿宋_GB2312"/>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2"/>
  <w:displayVerticalDrawingGridEvery w:val="2"/>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678C43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uiPriority w:val="0"/>
    <w:pPr>
      <w:jc w:val="both"/>
      <w:textAlignment w:val="baseline"/>
    </w:pPr>
    <w:rPr>
      <w:rFonts w:ascii="Times New Roman" w:hAnsi="Times New Roman" w:eastAsia="仿宋_GB2312"/>
      <w:kern w:val="2"/>
      <w:sz w:val="24"/>
      <w:szCs w:val="32"/>
      <w:lang w:val="en-US" w:eastAsia="zh-CN" w:bidi="ar-SA"/>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Date"/>
    <w:basedOn w:val="1"/>
    <w:next w:val="1"/>
    <w:link w:val="24"/>
    <w:uiPriority w:val="0"/>
    <w:pPr>
      <w:ind w:left="100" w:leftChars="2500"/>
      <w:jc w:val="both"/>
      <w:textAlignment w:val="baseline"/>
    </w:pPr>
    <w:rPr>
      <w:rFonts w:eastAsia="宋体"/>
      <w:kern w:val="0"/>
      <w:sz w:val="20"/>
      <w:szCs w:val="20"/>
      <w:lang w:val="en-US" w:eastAsia="zh-CN" w:bidi="ar-SA"/>
    </w:rPr>
  </w:style>
  <w:style w:type="paragraph" w:styleId="3">
    <w:name w:val="footer"/>
    <w:basedOn w:val="1"/>
    <w:link w:val="16"/>
    <w:uiPriority w:val="0"/>
    <w:pPr>
      <w:tabs>
        <w:tab w:val="center" w:pos="4153"/>
        <w:tab w:val="right" w:pos="8306"/>
      </w:tabs>
      <w:snapToGrid w:val="0"/>
      <w:jc w:val="left"/>
      <w:textAlignment w:val="baseline"/>
    </w:pPr>
    <w:rPr>
      <w:rFonts w:eastAsia="仿宋_GB2312"/>
      <w:kern w:val="2"/>
      <w:sz w:val="18"/>
      <w:szCs w:val="18"/>
      <w:lang w:val="en-US" w:eastAsia="zh-CN" w:bidi="ar-SA"/>
    </w:rPr>
  </w:style>
  <w:style w:type="paragraph" w:styleId="4">
    <w:name w:val="header"/>
    <w:basedOn w:val="1"/>
    <w:link w:val="17"/>
    <w:qFormat/>
    <w:uiPriority w:val="0"/>
    <w:pPr>
      <w:pBdr>
        <w:bottom w:val="single" w:color="000000" w:sz="6" w:space="1"/>
      </w:pBdr>
      <w:tabs>
        <w:tab w:val="center" w:pos="4153"/>
        <w:tab w:val="right" w:pos="8306"/>
      </w:tabs>
      <w:snapToGrid w:val="0"/>
      <w:jc w:val="center"/>
      <w:textAlignment w:val="baseline"/>
    </w:pPr>
    <w:rPr>
      <w:rFonts w:eastAsia="仿宋_GB2312"/>
      <w:kern w:val="2"/>
      <w:sz w:val="18"/>
      <w:szCs w:val="18"/>
      <w:lang w:val="en-US" w:eastAsia="zh-CN" w:bidi="ar-SA"/>
    </w:rPr>
  </w:style>
  <w:style w:type="character" w:styleId="6">
    <w:name w:val="Strong"/>
    <w:basedOn w:val="7"/>
    <w:link w:val="1"/>
    <w:qFormat/>
    <w:uiPriority w:val="0"/>
    <w:rPr>
      <w:rFonts w:cs="Times New Roman"/>
      <w:b/>
      <w:bCs/>
    </w:rPr>
  </w:style>
  <w:style w:type="character" w:customStyle="1" w:styleId="7">
    <w:name w:val="NormalCharacter"/>
    <w:link w:val="1"/>
    <w:semiHidden/>
    <w:uiPriority w:val="0"/>
  </w:style>
  <w:style w:type="character" w:styleId="8">
    <w:name w:val="Hyperlink"/>
    <w:basedOn w:val="7"/>
    <w:link w:val="1"/>
    <w:uiPriority w:val="0"/>
    <w:rPr>
      <w:color w:val="0000FF"/>
      <w:u w:val="single"/>
    </w:rPr>
  </w:style>
  <w:style w:type="paragraph" w:customStyle="1" w:styleId="10">
    <w:name w:val="Heading1"/>
    <w:basedOn w:val="1"/>
    <w:next w:val="1"/>
    <w:link w:val="13"/>
    <w:qFormat/>
    <w:uiPriority w:val="0"/>
    <w:pPr>
      <w:keepNext/>
      <w:keepLines/>
      <w:spacing w:before="340" w:after="330" w:line="576" w:lineRule="auto"/>
      <w:jc w:val="both"/>
      <w:textAlignment w:val="baseline"/>
    </w:pPr>
    <w:rPr>
      <w:rFonts w:ascii="Calibri" w:hAnsi="Calibri" w:eastAsia="宋体"/>
      <w:b/>
      <w:kern w:val="44"/>
      <w:sz w:val="44"/>
      <w:szCs w:val="24"/>
      <w:lang w:val="en-US" w:eastAsia="zh-CN" w:bidi="ar-SA"/>
    </w:rPr>
  </w:style>
  <w:style w:type="table" w:customStyle="1" w:styleId="11">
    <w:name w:val="TableNormal"/>
    <w:semiHidden/>
    <w:uiPriority w:val="0"/>
  </w:style>
  <w:style w:type="character" w:customStyle="1" w:styleId="12">
    <w:name w:val="PageNumber"/>
    <w:basedOn w:val="7"/>
    <w:link w:val="1"/>
    <w:qFormat/>
    <w:uiPriority w:val="0"/>
  </w:style>
  <w:style w:type="character" w:customStyle="1" w:styleId="13">
    <w:name w:val="UserStyle_0"/>
    <w:basedOn w:val="7"/>
    <w:link w:val="10"/>
    <w:locked/>
    <w:uiPriority w:val="0"/>
    <w:rPr>
      <w:rFonts w:ascii="Calibri" w:hAnsi="Calibri" w:eastAsia="宋体"/>
      <w:b/>
      <w:kern w:val="44"/>
      <w:sz w:val="44"/>
      <w:szCs w:val="24"/>
      <w:lang w:val="en-US" w:eastAsia="zh-CN" w:bidi="ar-SA"/>
    </w:rPr>
  </w:style>
  <w:style w:type="character" w:customStyle="1" w:styleId="14">
    <w:name w:val="UserStyle_1"/>
    <w:basedOn w:val="7"/>
    <w:link w:val="15"/>
    <w:semiHidden/>
    <w:locked/>
    <w:uiPriority w:val="0"/>
    <w:rPr>
      <w:rFonts w:eastAsia="宋体"/>
      <w:lang w:val="en-US" w:eastAsia="zh-CN" w:bidi="ar-SA"/>
    </w:rPr>
  </w:style>
  <w:style w:type="paragraph" w:customStyle="1" w:styleId="15">
    <w:name w:val="NavPane"/>
    <w:basedOn w:val="1"/>
    <w:link w:val="14"/>
    <w:semiHidden/>
    <w:qFormat/>
    <w:uiPriority w:val="0"/>
    <w:pPr>
      <w:shd w:val="clear" w:color="auto" w:fill="000080"/>
      <w:jc w:val="both"/>
      <w:textAlignment w:val="baseline"/>
    </w:pPr>
    <w:rPr>
      <w:rFonts w:eastAsia="宋体"/>
      <w:kern w:val="0"/>
      <w:sz w:val="20"/>
      <w:szCs w:val="20"/>
      <w:lang w:val="en-US" w:eastAsia="zh-CN" w:bidi="ar-SA"/>
    </w:rPr>
  </w:style>
  <w:style w:type="character" w:customStyle="1" w:styleId="16">
    <w:name w:val="UserStyle_2"/>
    <w:basedOn w:val="7"/>
    <w:link w:val="3"/>
    <w:locked/>
    <w:uiPriority w:val="0"/>
    <w:rPr>
      <w:rFonts w:eastAsia="仿宋_GB2312"/>
      <w:kern w:val="2"/>
      <w:sz w:val="18"/>
      <w:szCs w:val="18"/>
      <w:lang w:val="en-US" w:eastAsia="zh-CN" w:bidi="ar-SA"/>
    </w:rPr>
  </w:style>
  <w:style w:type="character" w:customStyle="1" w:styleId="17">
    <w:name w:val="UserStyle_3"/>
    <w:basedOn w:val="7"/>
    <w:link w:val="4"/>
    <w:locked/>
    <w:uiPriority w:val="0"/>
    <w:rPr>
      <w:rFonts w:eastAsia="仿宋_GB2312"/>
      <w:kern w:val="2"/>
      <w:sz w:val="18"/>
      <w:szCs w:val="18"/>
      <w:lang w:val="en-US" w:eastAsia="zh-CN" w:bidi="ar-SA"/>
    </w:rPr>
  </w:style>
  <w:style w:type="character" w:customStyle="1" w:styleId="18">
    <w:name w:val="UserStyle_4"/>
    <w:basedOn w:val="19"/>
    <w:link w:val="21"/>
    <w:locked/>
    <w:uiPriority w:val="0"/>
    <w:rPr>
      <w:rFonts w:eastAsia="宋体" w:cs="Times New Roman"/>
      <w:b/>
      <w:bCs/>
      <w:lang w:val="en-US" w:eastAsia="zh-CN" w:bidi="ar-SA"/>
    </w:rPr>
  </w:style>
  <w:style w:type="character" w:customStyle="1" w:styleId="19">
    <w:name w:val="UserStyle_5"/>
    <w:basedOn w:val="7"/>
    <w:link w:val="20"/>
    <w:locked/>
    <w:uiPriority w:val="0"/>
    <w:rPr>
      <w:rFonts w:eastAsia="宋体"/>
      <w:lang w:val="en-US" w:eastAsia="zh-CN" w:bidi="ar-SA"/>
    </w:rPr>
  </w:style>
  <w:style w:type="paragraph" w:customStyle="1" w:styleId="20">
    <w:name w:val="AnnotationText"/>
    <w:basedOn w:val="1"/>
    <w:link w:val="19"/>
    <w:semiHidden/>
    <w:qFormat/>
    <w:uiPriority w:val="0"/>
    <w:pPr>
      <w:jc w:val="left"/>
      <w:textAlignment w:val="baseline"/>
    </w:pPr>
    <w:rPr>
      <w:rFonts w:eastAsia="宋体"/>
      <w:kern w:val="0"/>
      <w:sz w:val="20"/>
      <w:szCs w:val="20"/>
      <w:lang w:val="en-US" w:eastAsia="zh-CN" w:bidi="ar-SA"/>
    </w:rPr>
  </w:style>
  <w:style w:type="paragraph" w:customStyle="1" w:styleId="21">
    <w:name w:val="AnnotationSubject"/>
    <w:basedOn w:val="20"/>
    <w:next w:val="20"/>
    <w:link w:val="18"/>
    <w:semiHidden/>
    <w:uiPriority w:val="0"/>
    <w:pPr>
      <w:jc w:val="left"/>
      <w:textAlignment w:val="baseline"/>
    </w:pPr>
    <w:rPr>
      <w:rFonts w:eastAsia="宋体" w:cs="Times New Roman"/>
      <w:b/>
      <w:bCs/>
      <w:kern w:val="0"/>
      <w:sz w:val="20"/>
      <w:szCs w:val="20"/>
      <w:lang w:val="en-US" w:eastAsia="zh-CN" w:bidi="ar-SA"/>
    </w:rPr>
  </w:style>
  <w:style w:type="character" w:customStyle="1" w:styleId="22">
    <w:name w:val="UserStyle_6"/>
    <w:basedOn w:val="7"/>
    <w:link w:val="23"/>
    <w:qFormat/>
    <w:locked/>
    <w:uiPriority w:val="0"/>
    <w:rPr>
      <w:rFonts w:eastAsia="仿宋_GB2312"/>
      <w:kern w:val="2"/>
      <w:sz w:val="18"/>
      <w:szCs w:val="18"/>
      <w:lang w:val="en-US" w:eastAsia="zh-CN" w:bidi="ar-SA"/>
    </w:rPr>
  </w:style>
  <w:style w:type="paragraph" w:customStyle="1" w:styleId="23">
    <w:name w:val="Acetate"/>
    <w:basedOn w:val="1"/>
    <w:link w:val="22"/>
    <w:semiHidden/>
    <w:qFormat/>
    <w:uiPriority w:val="0"/>
    <w:pPr>
      <w:jc w:val="both"/>
      <w:textAlignment w:val="baseline"/>
    </w:pPr>
    <w:rPr>
      <w:rFonts w:eastAsia="仿宋_GB2312"/>
      <w:kern w:val="2"/>
      <w:sz w:val="18"/>
      <w:szCs w:val="18"/>
      <w:lang w:val="en-US" w:eastAsia="zh-CN" w:bidi="ar-SA"/>
    </w:rPr>
  </w:style>
  <w:style w:type="character" w:customStyle="1" w:styleId="24">
    <w:name w:val="UserStyle_7"/>
    <w:basedOn w:val="7"/>
    <w:link w:val="2"/>
    <w:locked/>
    <w:uiPriority w:val="0"/>
    <w:rPr>
      <w:rFonts w:eastAsia="宋体"/>
      <w:lang w:val="en-US" w:eastAsia="zh-CN" w:bidi="ar-SA"/>
    </w:rPr>
  </w:style>
  <w:style w:type="paragraph" w:customStyle="1" w:styleId="25">
    <w:name w:val="BodyTextIndent"/>
    <w:basedOn w:val="1"/>
    <w:qFormat/>
    <w:uiPriority w:val="0"/>
    <w:pPr>
      <w:ind w:firstLine="660"/>
      <w:jc w:val="both"/>
      <w:textAlignment w:val="baseline"/>
    </w:pPr>
    <w:rPr>
      <w:rFonts w:eastAsia="仿宋_GB2312"/>
      <w:kern w:val="2"/>
      <w:sz w:val="24"/>
      <w:szCs w:val="24"/>
      <w:lang w:val="en-US" w:eastAsia="zh-CN" w:bidi="ar-SA"/>
    </w:rPr>
  </w:style>
  <w:style w:type="paragraph" w:customStyle="1" w:styleId="26">
    <w:name w:val="HtmlNormal"/>
    <w:basedOn w:val="1"/>
    <w:uiPriority w:val="0"/>
    <w:pPr>
      <w:widowControl/>
      <w:spacing w:before="100" w:beforeAutospacing="1" w:after="100" w:afterAutospacing="1"/>
      <w:jc w:val="left"/>
      <w:textAlignment w:val="baseline"/>
    </w:pPr>
    <w:rPr>
      <w:rFonts w:ascii="宋体" w:hAnsi="宋体" w:eastAsia="宋体"/>
      <w:kern w:val="0"/>
      <w:sz w:val="24"/>
      <w:szCs w:val="24"/>
      <w:lang w:val="en-US" w:eastAsia="zh-CN" w:bidi="ar-SA"/>
    </w:rPr>
  </w:style>
  <w:style w:type="paragraph" w:customStyle="1" w:styleId="27">
    <w:name w:val="UserStyle_8"/>
    <w:basedOn w:val="15"/>
    <w:uiPriority w:val="0"/>
    <w:pPr>
      <w:shd w:val="clear" w:color="auto" w:fill="000080"/>
      <w:spacing w:line="436" w:lineRule="exact"/>
      <w:ind w:left="357"/>
      <w:jc w:val="left"/>
      <w:textAlignment w:val="baseline"/>
    </w:pPr>
    <w:rPr>
      <w:rFonts w:ascii="Tahoma" w:hAnsi="Tahoma" w:eastAsia="仿宋_GB2312" w:cs="Tahoma"/>
      <w:b/>
      <w:bCs/>
      <w:kern w:val="0"/>
      <w:sz w:val="24"/>
      <w:szCs w:val="24"/>
      <w:lang w:val="en-US" w:eastAsia="zh-CN" w:bidi="ar-SA"/>
    </w:rPr>
  </w:style>
  <w:style w:type="paragraph" w:customStyle="1" w:styleId="28">
    <w:name w:val="UserStyle_9"/>
    <w:basedOn w:val="1"/>
    <w:qFormat/>
    <w:uiPriority w:val="0"/>
    <w:pPr>
      <w:jc w:val="both"/>
      <w:textAlignment w:val="baseline"/>
    </w:pPr>
    <w:rPr>
      <w:rFonts w:ascii="仿宋_GB2312" w:eastAsia="仿宋_GB2312"/>
      <w:kern w:val="2"/>
      <w:sz w:val="24"/>
      <w:szCs w:val="20"/>
      <w:lang w:val="en-US" w:eastAsia="zh-CN" w:bidi="ar-SA"/>
    </w:rPr>
  </w:style>
  <w:style w:type="paragraph" w:customStyle="1" w:styleId="29">
    <w:name w:val="UserStyle_10"/>
    <w:qFormat/>
    <w:uiPriority w:val="0"/>
    <w:pPr>
      <w:jc w:val="both"/>
      <w:textAlignment w:val="baseline"/>
    </w:pPr>
    <w:rPr>
      <w:rFonts w:ascii="Calibri" w:hAnsi="Calibri" w:eastAsia="宋体"/>
      <w:kern w:val="2"/>
      <w:sz w:val="21"/>
      <w:szCs w:val="22"/>
      <w:lang w:val="en-US" w:eastAsia="zh-CN" w:bidi="ar-SA"/>
    </w:rPr>
  </w:style>
  <w:style w:type="paragraph" w:customStyle="1" w:styleId="30">
    <w:name w:val="UserStyle_11"/>
    <w:basedOn w:val="1"/>
    <w:qFormat/>
    <w:uiPriority w:val="0"/>
    <w:pPr>
      <w:ind w:firstLine="420" w:firstLineChars="200"/>
      <w:jc w:val="both"/>
      <w:textAlignment w:val="baseline"/>
    </w:pPr>
    <w:rPr>
      <w:rFonts w:eastAsia="宋体"/>
      <w:kern w:val="2"/>
      <w:sz w:val="21"/>
      <w:szCs w:val="21"/>
      <w:lang w:val="en-US" w:eastAsia="zh-CN" w:bidi="ar-SA"/>
    </w:rPr>
  </w:style>
  <w:style w:type="paragraph" w:customStyle="1" w:styleId="31">
    <w:name w:val="UserStyle_12"/>
    <w:basedOn w:val="1"/>
    <w:uiPriority w:val="0"/>
    <w:pPr>
      <w:jc w:val="both"/>
      <w:textAlignment w:val="baseline"/>
    </w:pPr>
    <w:rPr>
      <w:rFonts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Office_10.8.2.6990_F1E327BC-269C-435d-A152-05C5408002CA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2020-11-10T02:39:51Z</dcterms:created>
  <dc:creator>Administrator</dc:creator>
  <cp:lastModifiedBy>龙晗</cp:lastModifiedBy>
  <dcterms:modified xsi:type="dcterms:W3CDTF">2020-11-10T02:40:21Z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