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90" w:lineRule="exact"/>
        <w:jc w:val="left"/>
        <w:rPr>
          <w:rStyle w:val="9"/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napToGrid w:val="0"/>
        <w:spacing w:line="590" w:lineRule="exact"/>
        <w:rPr>
          <w:rStyle w:val="9"/>
          <w:rFonts w:eastAsia="方正仿宋_GBK"/>
          <w:color w:val="000000"/>
          <w:szCs w:val="32"/>
        </w:rPr>
      </w:pPr>
      <w:r>
        <w:rPr>
          <w:rStyle w:val="9"/>
          <w:rFonts w:eastAsia="方正仿宋_GBK"/>
          <w:color w:val="000000"/>
          <w:szCs w:val="32"/>
        </w:rPr>
        <w:t xml:space="preserve"> </w:t>
      </w:r>
    </w:p>
    <w:p>
      <w:pPr>
        <w:snapToGrid w:val="0"/>
        <w:spacing w:line="590" w:lineRule="exact"/>
        <w:jc w:val="center"/>
        <w:rPr>
          <w:rStyle w:val="9"/>
          <w:rFonts w:ascii="方正小标宋_GBK" w:eastAsia="方正小标宋_GBK"/>
          <w:color w:val="000000"/>
          <w:sz w:val="44"/>
          <w:szCs w:val="44"/>
        </w:rPr>
      </w:pPr>
      <w:r>
        <w:rPr>
          <w:rStyle w:val="9"/>
          <w:rFonts w:ascii="方正小标宋_GBK" w:eastAsia="方正小标宋_GBK"/>
          <w:color w:val="000000"/>
          <w:sz w:val="44"/>
          <w:szCs w:val="44"/>
        </w:rPr>
        <w:t>单位名单</w:t>
      </w:r>
    </w:p>
    <w:p>
      <w:pPr>
        <w:snapToGrid w:val="0"/>
        <w:spacing w:line="590" w:lineRule="exact"/>
        <w:ind w:firstLine="640" w:firstLineChars="200"/>
        <w:rPr>
          <w:rStyle w:val="9"/>
          <w:rFonts w:eastAsia="方正仿宋_GBK"/>
          <w:color w:val="000000"/>
          <w:szCs w:val="32"/>
        </w:rPr>
      </w:pPr>
    </w:p>
    <w:p>
      <w:pPr>
        <w:snapToGrid w:val="0"/>
        <w:spacing w:line="590" w:lineRule="exact"/>
        <w:ind w:firstLine="640" w:firstLineChars="200"/>
        <w:rPr>
          <w:rStyle w:val="9"/>
          <w:rFonts w:ascii="方正黑体_GBK" w:eastAsia="方正黑体_GBK"/>
          <w:color w:val="000000"/>
          <w:szCs w:val="32"/>
        </w:rPr>
      </w:pPr>
      <w:r>
        <w:rPr>
          <w:rStyle w:val="9"/>
          <w:rFonts w:ascii="方正黑体_GBK" w:eastAsia="方正黑体_GBK"/>
          <w:color w:val="000000"/>
          <w:szCs w:val="32"/>
        </w:rPr>
        <w:t>一、自治区各有关单位</w:t>
      </w:r>
    </w:p>
    <w:p>
      <w:pPr>
        <w:snapToGrid w:val="0"/>
        <w:spacing w:line="590" w:lineRule="exact"/>
        <w:ind w:firstLine="640" w:firstLineChars="200"/>
        <w:rPr>
          <w:rStyle w:val="9"/>
          <w:rFonts w:eastAsia="方正仿宋_GBK"/>
          <w:color w:val="000000"/>
          <w:szCs w:val="32"/>
        </w:rPr>
      </w:pPr>
      <w:r>
        <w:rPr>
          <w:rStyle w:val="21"/>
          <w:rFonts w:eastAsia="方正仿宋_GBK"/>
          <w:color w:val="000000"/>
          <w:sz w:val="32"/>
          <w:szCs w:val="32"/>
        </w:rPr>
        <w:t>自治区党委办公厅、自治区政府办公厅、自治区党委政法委、自治区党委网信办、自治区信访局、自治区党委保密办、自治区档案馆、自治区专用通信局、自治区高级法院、自治区检察院、自治区发展改革委、自治区教育厅、自治区科技厅、自治区公安厅、自治区民政厅、自治区司法厅、自治区财政厅、自治区人力资源社会保障厅、自治区自然资源厅、自治区生态环境厅、自治区住房城乡建设厅、自治区交通运输厅、自治区水利厅、自治区农业农村厅、自治区商务厅、自治区文化和旅游厅、自治区卫生健康委、自治区退役军人厅、自治区应急厅、自治区审计厅，自治区国资委、自治区农垦局、自治区市场监管局、自治区广电局、自治区统计局、自治区林业局、自治区地方金融监管局、自治区人防边海防办、自治区医保局、南宁五象新区管委会、自治区地矿局、广西广播电视台、自治区公共资源交易中心、自治区粮食和储备局、自治区监狱管理局、自治区海洋局、自治区中医药局、自治区药监局、自治区招生考试院、自治区安全厅、人民银行南宁中心支行、南宁海关、广西税务局、广西调查总队、自治区地震局、自治区气象局、广西银保监局、广西证监局、自治区烟草局、中国铁路南宁局集团有限公司、广西煤矿安监局、自治区通信管理局、广西海事局、自然资源部第四海洋研究所、广西消防救援总队、邮储银行广西分行、广西日报社</w:t>
      </w:r>
    </w:p>
    <w:p>
      <w:pPr>
        <w:snapToGrid w:val="0"/>
        <w:spacing w:line="590" w:lineRule="exact"/>
        <w:ind w:firstLine="640" w:firstLineChars="200"/>
        <w:rPr>
          <w:rStyle w:val="9"/>
          <w:rFonts w:ascii="方正黑体_GBK" w:eastAsia="方正黑体_GBK"/>
          <w:color w:val="000000"/>
          <w:szCs w:val="32"/>
        </w:rPr>
      </w:pPr>
      <w:r>
        <w:rPr>
          <w:rStyle w:val="9"/>
          <w:rFonts w:ascii="方正黑体_GBK" w:eastAsia="方正黑体_GBK"/>
          <w:color w:val="000000"/>
          <w:szCs w:val="32"/>
        </w:rPr>
        <w:t>二、各有关企业、高校</w:t>
      </w:r>
    </w:p>
    <w:p>
      <w:pPr>
        <w:snapToGrid w:val="0"/>
        <w:spacing w:line="590" w:lineRule="exact"/>
        <w:ind w:firstLine="640" w:firstLineChars="200"/>
        <w:rPr>
          <w:rStyle w:val="21"/>
          <w:rFonts w:eastAsia="方正仿宋_GBK"/>
          <w:color w:val="000000"/>
          <w:sz w:val="32"/>
          <w:szCs w:val="32"/>
        </w:rPr>
      </w:pPr>
      <w:r>
        <w:rPr>
          <w:rStyle w:val="21"/>
          <w:rFonts w:eastAsia="方正仿宋_GBK"/>
          <w:color w:val="000000"/>
          <w:sz w:val="32"/>
          <w:szCs w:val="32"/>
        </w:rPr>
        <w:t>广西电网公司、中国大唐广西分公司、中国华电广西公司、国家电投集团广西公司、国家能源集团广西电力有限公司、中国电信广西公司、中国联通广西分公司、中国移动广西有限公司、中国铁塔广西公司、中国铝业广西分公司、中储粮广西分公司、广西煤炭地质局、广西中烟工业有限责任公司、中国邮政广西分公司、广西沿海铁路股份有限公司、广西华银铝业有限公司、中铝广西有色稀土开发有限公司、航天科技集团九院一六五厂、航天科工集团二院八○一厂、中国—东盟信息港股份有限公司、中信大锰矿业有限责任公司、北部湾航空公司、广西建工集团、广西物资集团、广西投资集团、柳钢集团、广西机场管理集团、广西农村信用社联合社、广西北部湾投资集团、广西北部湾国际港务集团、广西交通投资集团、广西宏桂集团、广西北部湾银行、广西林业集团、广西旅游发展集团、广西文化产业集团、广西农村投资集团、柳工集团、广西汽车集团、广西广电网络公司、玉柴集团、国合公司、广西国宏集团、广西融资担保集团、国海证券、柳州银行、桂林银行、北部湾财产保险公司、国富人寿保险公司，广西师范大学、广西医科大学、广西民族大学、桂林电子科技大学、桂林理工大学、广西中医药大学、广西科技大学、南宁师范大学、北部湾大学、广西艺术学院、桂林医学院、右江民族医学院、玉林师范学院、河池学院、广西财经学院、百色学院、梧州学院、贺州学院、广西民族师范学院、广西开放大学、广西教育学院、桂林航天工业学院、广西职业师范学院、桂林旅游学院、广西科技师范学院、广西警察学院、广西体育高等专科学校、桂林师范高等专科学校、广西幼儿师范高等专科学校、广西职业技术学院、南宁职业技术学院、柳州职业技术学院、广西机电职业技术学院、广西水利电力职业技术学院、广西交通职业技术学院、广西建设职业技术学院、广西农业职业技术学院、广西生态工程职业技术学院、广西国际商务职业技术学院、广西工业职业技术学院、广西经贸职业技术学院、广西电力职业技术学院、广西工商职业技术学院、广西卫生职业技术学院</w:t>
      </w:r>
    </w:p>
    <w:p>
      <w:pPr>
        <w:snapToGrid w:val="0"/>
        <w:spacing w:line="590" w:lineRule="exact"/>
        <w:rPr>
          <w:rStyle w:val="9"/>
          <w:color w:val="000000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928" w:right="1417" w:bottom="1814" w:left="1417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jc w:val="left"/>
      <w:rPr>
        <w:rStyle w:val="9"/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margin" w:hAnchor="text" w:xAlign="outside" w:y="1"/>
      <w:snapToGrid w:val="0"/>
      <w:spacing w:line="240" w:lineRule="auto"/>
      <w:ind w:left="320" w:leftChars="100" w:right="320" w:rightChars="100"/>
      <w:rPr>
        <w:rStyle w:val="11"/>
        <w:rFonts w:eastAsia="宋体"/>
        <w:sz w:val="28"/>
        <w:szCs w:val="28"/>
      </w:rPr>
    </w:pPr>
  </w:p>
  <w:p>
    <w:pPr>
      <w:pStyle w:val="4"/>
      <w:spacing w:line="240" w:lineRule="auto"/>
      <w:rPr>
        <w:rStyle w:val="9"/>
        <w:rFonts w:eastAsia="方正仿宋_GB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Style w:val="9"/>
        <w:rFonts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A"/>
    <w:rsid w:val="0001338D"/>
    <w:rsid w:val="001A248B"/>
    <w:rsid w:val="001D5E14"/>
    <w:rsid w:val="002C1CA2"/>
    <w:rsid w:val="00334357"/>
    <w:rsid w:val="00343352"/>
    <w:rsid w:val="00513C1A"/>
    <w:rsid w:val="00532B03"/>
    <w:rsid w:val="005A1365"/>
    <w:rsid w:val="00692D00"/>
    <w:rsid w:val="006C501D"/>
    <w:rsid w:val="007341F5"/>
    <w:rsid w:val="008876D8"/>
    <w:rsid w:val="009B1C70"/>
    <w:rsid w:val="009F71C4"/>
    <w:rsid w:val="00A02101"/>
    <w:rsid w:val="00A169FE"/>
    <w:rsid w:val="00C31C3A"/>
    <w:rsid w:val="00CA5C88"/>
    <w:rsid w:val="00D51276"/>
    <w:rsid w:val="00E01A7C"/>
    <w:rsid w:val="00E068D0"/>
    <w:rsid w:val="00E817A3"/>
    <w:rsid w:val="00F116A4"/>
    <w:rsid w:val="00F85E35"/>
    <w:rsid w:val="00FA2882"/>
    <w:rsid w:val="22BB719F"/>
    <w:rsid w:val="38041629"/>
    <w:rsid w:val="5A6767D3"/>
    <w:rsid w:val="683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rPr>
      <w:rFonts w:ascii="仿宋_GB2312" w:hAnsi="宋体"/>
      <w:szCs w:val="21"/>
    </w:rPr>
  </w:style>
  <w:style w:type="paragraph" w:styleId="3">
    <w:name w:val="Title"/>
    <w:basedOn w:val="1"/>
    <w:next w:val="1"/>
    <w:qFormat/>
    <w:uiPriority w:val="0"/>
    <w:pPr>
      <w:spacing w:before="60" w:after="120" w:line="560" w:lineRule="exact"/>
      <w:jc w:val="center"/>
    </w:pPr>
    <w:rPr>
      <w:rFonts w:eastAsia="方正小标宋简体"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qFormat/>
    <w:uiPriority w:val="0"/>
  </w:style>
  <w:style w:type="character" w:customStyle="1" w:styleId="12">
    <w:name w:val="UserStyle_0"/>
    <w:link w:val="13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Acetate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character" w:customStyle="1" w:styleId="14">
    <w:name w:val="UserStyle_1"/>
    <w:qFormat/>
    <w:uiPriority w:val="0"/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">
    <w:name w:val="BodyTextIndent2"/>
    <w:basedOn w:val="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customStyle="1" w:styleId="17">
    <w:name w:val="UserStyle_2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UserStyle_3"/>
    <w:basedOn w:val="1"/>
    <w:qFormat/>
    <w:uiPriority w:val="0"/>
    <w:pPr>
      <w:spacing w:line="376" w:lineRule="auto"/>
      <w:ind w:firstLine="400"/>
      <w:jc w:val="left"/>
    </w:pPr>
    <w:rPr>
      <w:rFonts w:ascii="宋体" w:hAnsi="宋体" w:eastAsia="宋体"/>
      <w:color w:val="000000"/>
      <w:kern w:val="0"/>
      <w:sz w:val="30"/>
      <w:szCs w:val="30"/>
    </w:rPr>
  </w:style>
  <w:style w:type="paragraph" w:customStyle="1" w:styleId="19">
    <w:name w:val="UserStyle_4"/>
    <w:basedOn w:val="1"/>
    <w:qFormat/>
    <w:uiPriority w:val="0"/>
    <w:pPr>
      <w:spacing w:before="100" w:beforeAutospacing="1" w:after="130" w:line="546" w:lineRule="exact"/>
      <w:ind w:firstLine="540"/>
      <w:jc w:val="left"/>
    </w:pPr>
    <w:rPr>
      <w:rFonts w:ascii="宋体" w:hAnsi="宋体" w:eastAsia="宋体"/>
      <w:color w:val="000000"/>
      <w:kern w:val="0"/>
      <w:sz w:val="26"/>
      <w:szCs w:val="26"/>
    </w:rPr>
  </w:style>
  <w:style w:type="paragraph" w:customStyle="1" w:styleId="20">
    <w:name w:val="UserStyle_5"/>
    <w:basedOn w:val="1"/>
    <w:qFormat/>
    <w:uiPriority w:val="0"/>
    <w:pPr>
      <w:spacing w:line="376" w:lineRule="auto"/>
      <w:ind w:firstLine="400"/>
      <w:jc w:val="left"/>
    </w:pPr>
    <w:rPr>
      <w:rFonts w:ascii="宋体" w:hAnsi="宋体" w:eastAsia="宋体"/>
      <w:color w:val="000000"/>
      <w:kern w:val="0"/>
      <w:sz w:val="30"/>
      <w:szCs w:val="30"/>
    </w:rPr>
  </w:style>
  <w:style w:type="character" w:customStyle="1" w:styleId="21">
    <w:name w:val="UserStyle_6"/>
    <w:basedOn w:val="9"/>
    <w:qFormat/>
    <w:uiPriority w:val="0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507</Words>
  <Characters>2894</Characters>
  <Lines>24</Lines>
  <Paragraphs>6</Paragraphs>
  <TotalTime>3</TotalTime>
  <ScaleCrop>false</ScaleCrop>
  <LinksUpToDate>false</LinksUpToDate>
  <CharactersWithSpaces>3395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2021-06-11T07:30:00Z</dcterms:created>
  <dc:creator>mengwenhao</dc:creator>
  <cp:lastModifiedBy>广西工信厅</cp:lastModifiedBy>
  <dcterms:modified xsi:type="dcterms:W3CDTF">2021-06-11T08:37:31Z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(2)ba2kc9E0/Su7fzaKfdLVRYWdO8MWbIXRT0b/9UuWXOrCWFWkYe1DTsNUa0AbVyOSdZyQbnsN
exEdkACjLFMaX0SrchDZxWFQS6XsMt21W5s01srBpmCwfytqDhUsllq9/DC/Ale0N3orjNJH
w3+p+Kn6TKUMF6xj54ZJv6ZzcWFHVuSX0pTbpoHLKXUyqXTGn9yK59G4nSx2n2R+M+llZ2YQ
wOV9GwdTIPMaNle8Zf</vt:lpwstr>
  </property>
  <property fmtid="{D5CDD505-2E9C-101B-9397-08002B2CF9AE}" pid="3" name="_2015_ms_pID_7253431">
    <vt:lpwstr>/3LLmeXlDCWbQHKF8f7hSe3dRagK+k9u7pfzjgb870tdtZ4OeK+XBk
RLnFgFJ+Fl2/lw03CoPIA+qGwlkYiB1GMi2cp01vJEZRrL0b9ihDR7rxmkvunf2x3nRnx4P7
2EoM/jOsjHxz0Cr2wgScwmG2ZkJ+H5yBVqO0Hw/l5K1JZRXsdJhkPGnfJXZH9lDYoes=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1623373751</vt:lpwstr>
  </property>
  <property fmtid="{D5CDD505-2E9C-101B-9397-08002B2CF9AE}" pid="8" name="KSOProductBuildVer">
    <vt:lpwstr>2052-10.8.2.6990</vt:lpwstr>
  </property>
</Properties>
</file>