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8.0.0 -->
  <w:body>
    <w:p>
      <w:pPr>
        <w:jc w:val="left"/>
        <w:rPr>
          <w:rFonts w:ascii="黑体" w:eastAsia="黑体" w:hAnsi="黑体" w:cs="黑体" w:hint="eastAsia"/>
          <w:b w:val="0"/>
          <w:bCs/>
          <w:snapToGrid w:val="0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b w:val="0"/>
          <w:bCs/>
          <w:snapToGrid w:val="0"/>
          <w:sz w:val="32"/>
          <w:szCs w:val="32"/>
          <w:lang w:eastAsia="zh-CN"/>
        </w:rPr>
        <w:t>附件</w:t>
      </w:r>
      <w:r>
        <w:rPr>
          <w:rFonts w:ascii="黑体" w:eastAsia="黑体" w:hAnsi="黑体" w:cs="黑体" w:hint="eastAsia"/>
          <w:b w:val="0"/>
          <w:bCs/>
          <w:snapToGrid w:val="0"/>
          <w:sz w:val="32"/>
          <w:szCs w:val="32"/>
          <w:lang w:val="en-US" w:eastAsia="zh-CN"/>
        </w:rPr>
        <w:t>2</w:t>
      </w:r>
    </w:p>
    <w:p>
      <w:pPr>
        <w:pStyle w:val="BodyText"/>
        <w:rPr>
          <w:rFonts w:hint="eastAsia"/>
          <w:snapToGrid w:val="0"/>
          <w:lang w:val="en-US" w:eastAsia="zh-CN"/>
        </w:rPr>
      </w:pPr>
    </w:p>
    <w:p>
      <w:pPr>
        <w:spacing w:line="72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kern w:val="2"/>
          <w:sz w:val="44"/>
          <w:szCs w:val="44"/>
          <w:lang w:val="en-US" w:eastAsia="zh-CN" w:bidi="ar-SA"/>
        </w:rPr>
        <w:t>专精特新中小企业认定佐证材料清单</w:t>
      </w:r>
    </w:p>
    <w:p>
      <w:pPr>
        <w:pStyle w:val="BodyText"/>
        <w:rPr>
          <w:rFonts w:ascii="仿宋_GB2312" w:eastAsia="仿宋_GB2312" w:hAnsi="仿宋_GB2312" w:cs="仿宋_GB2312" w:hint="eastAsia"/>
          <w:snapToGrid w:val="0"/>
          <w:sz w:val="32"/>
          <w:szCs w:val="32"/>
        </w:rPr>
      </w:pPr>
    </w:p>
    <w:p>
      <w:pPr>
        <w:widowControl w:val="0"/>
        <w:numPr>
          <w:ilvl w:val="0"/>
          <w:numId w:val="0"/>
        </w:numPr>
        <w:kinsoku w:val="0"/>
        <w:overflowPunct/>
        <w:topLinePunct w:val="0"/>
        <w:autoSpaceDE w:val="0"/>
        <w:autoSpaceDN w:val="0"/>
        <w:adjustRightInd/>
        <w:snapToGrid/>
        <w:spacing w:line="240" w:lineRule="auto"/>
        <w:ind w:firstLine="640" w:firstLineChars="200"/>
        <w:jc w:val="left"/>
        <w:textAlignment w:val="baseline"/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highlight w:val="none"/>
          <w:shd w:val="clear" w:color="auto" w:fill="auto"/>
          <w:lang w:eastAsia="zh-CN"/>
        </w:rPr>
        <w:t>一、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highlight w:val="none"/>
          <w:shd w:val="clear" w:color="auto" w:fill="auto"/>
        </w:rPr>
        <w:t>企业营业执照复印件。</w:t>
      </w:r>
    </w:p>
    <w:p>
      <w:pPr>
        <w:widowControl w:val="0"/>
        <w:numPr>
          <w:ilvl w:val="0"/>
          <w:numId w:val="0"/>
        </w:numPr>
        <w:kinsoku w:val="0"/>
        <w:overflowPunct/>
        <w:topLinePunct w:val="0"/>
        <w:autoSpaceDE w:val="0"/>
        <w:autoSpaceDN w:val="0"/>
        <w:adjustRightInd/>
        <w:snapToGrid/>
        <w:spacing w:line="240" w:lineRule="auto"/>
        <w:ind w:firstLine="640" w:firstLineChars="200"/>
        <w:jc w:val="left"/>
        <w:textAlignment w:val="baseline"/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highlight w:val="none"/>
          <w:shd w:val="clear" w:color="auto" w:fill="auto"/>
          <w:lang w:eastAsia="zh-CN"/>
        </w:rPr>
        <w:t>二、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highlight w:val="none"/>
          <w:shd w:val="clear" w:color="auto" w:fill="auto"/>
        </w:rPr>
        <w:t>经会计师事务所审计的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highlight w:val="none"/>
          <w:shd w:val="clear" w:color="auto" w:fill="auto"/>
          <w:lang w:eastAsia="zh-CN"/>
        </w:rPr>
        <w:t>近两年财务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highlight w:val="none"/>
          <w:shd w:val="clear" w:color="auto" w:fill="auto"/>
        </w:rPr>
        <w:t>审计报告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highlight w:val="none"/>
          <w:shd w:val="clear" w:color="auto" w:fill="auto"/>
          <w:lang w:eastAsia="zh-CN"/>
        </w:rPr>
        <w:t>（需包含主营业务收入、研发投入等的相关情况）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highlight w:val="none"/>
          <w:shd w:val="clear" w:color="auto" w:fill="auto"/>
        </w:rPr>
        <w:t>。</w:t>
      </w:r>
    </w:p>
    <w:p>
      <w:pPr>
        <w:widowControl w:val="0"/>
        <w:numPr>
          <w:ilvl w:val="0"/>
          <w:numId w:val="0"/>
        </w:numPr>
        <w:kinsoku w:val="0"/>
        <w:overflowPunct/>
        <w:topLinePunct w:val="0"/>
        <w:autoSpaceDE w:val="0"/>
        <w:autoSpaceDN w:val="0"/>
        <w:adjustRightInd/>
        <w:snapToGrid/>
        <w:spacing w:line="240" w:lineRule="auto"/>
        <w:ind w:firstLine="640" w:firstLineChars="200"/>
        <w:jc w:val="left"/>
        <w:textAlignment w:val="baseline"/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三、近两年12月底缴纳社保人数证明。</w:t>
      </w:r>
    </w:p>
    <w:p>
      <w:pPr>
        <w:widowControl w:val="0"/>
        <w:numPr>
          <w:ilvl w:val="0"/>
          <w:numId w:val="0"/>
        </w:numPr>
        <w:kinsoku w:val="0"/>
        <w:overflowPunct/>
        <w:topLinePunct w:val="0"/>
        <w:autoSpaceDE w:val="0"/>
        <w:autoSpaceDN w:val="0"/>
        <w:adjustRightInd/>
        <w:snapToGrid/>
        <w:spacing w:line="240" w:lineRule="auto"/>
        <w:ind w:firstLine="640" w:firstLineChars="200"/>
        <w:jc w:val="left"/>
        <w:textAlignment w:val="baseline"/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highlight w:val="none"/>
          <w:lang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highlight w:val="none"/>
        </w:rPr>
        <w:t>合规经营承诺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highlight w:val="none"/>
          <w:lang w:eastAsia="zh-CN"/>
        </w:rPr>
        <w:t>书。应涵盖《广西壮族自治区优质中小企业梯度培育管理实施细则(暂行)》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highlight w:val="none"/>
          <w:lang w:eastAsia="zh-CN"/>
        </w:rPr>
        <w:t>“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highlight w:val="none"/>
          <w:lang w:eastAsia="zh-CN"/>
        </w:rPr>
        <w:t>第一章总则，第三条中所列内容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highlight w:val="none"/>
          <w:lang w:eastAsia="zh-CN"/>
        </w:rPr>
        <w:t>”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kinsoku w:val="0"/>
        <w:overflowPunct/>
        <w:topLinePunct w:val="0"/>
        <w:autoSpaceDE w:val="0"/>
        <w:autoSpaceDN w:val="0"/>
        <w:adjustRightInd/>
        <w:snapToGrid/>
        <w:spacing w:line="240" w:lineRule="auto"/>
        <w:ind w:firstLine="640" w:firstLineChars="200"/>
        <w:jc w:val="left"/>
        <w:textAlignment w:val="baseline"/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五、申报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“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直通车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”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的企业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eastAsia="zh-CN"/>
        </w:rPr>
        <w:t>还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需提供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eastAsia="zh-CN"/>
        </w:rPr>
        <w:t>满足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eastAsia="zh-CN"/>
        </w:rPr>
        <w:t>“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直通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eastAsia="zh-CN"/>
        </w:rPr>
        <w:t>车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eastAsia="zh-CN"/>
        </w:rPr>
        <w:t>”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条件的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eastAsia="zh-CN"/>
        </w:rPr>
        <w:t>相应证明材料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kinsoku w:val="0"/>
        <w:overflowPunct/>
        <w:topLinePunct w:val="0"/>
        <w:autoSpaceDE w:val="0"/>
        <w:autoSpaceDN w:val="0"/>
        <w:adjustRightInd/>
        <w:snapToGrid/>
        <w:spacing w:line="240" w:lineRule="auto"/>
        <w:ind w:firstLine="640" w:firstLineChars="200"/>
        <w:jc w:val="left"/>
        <w:textAlignment w:val="baseline"/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六、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评价指标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highlight w:val="none"/>
          <w:lang w:eastAsia="zh-CN"/>
        </w:rPr>
        <w:t>相关证明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材料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highlight w:val="none"/>
          <w:shd w:val="clear" w:color="auto" w:fill="auto"/>
        </w:rPr>
        <w:t>。</w:t>
      </w:r>
    </w:p>
    <w:p>
      <w:pPr>
        <w:pStyle w:val="Title"/>
        <w:ind w:firstLine="474" w:firstLineChars="148"/>
        <w:jc w:val="left"/>
        <w:rPr>
          <w:rFonts w:ascii="仿宋_GB2312" w:eastAsia="仿宋_GB2312" w:hAnsi="仿宋_GB2312" w:cs="仿宋_GB2312" w:hint="eastAsia"/>
          <w:snapToGrid w:val="0"/>
          <w:sz w:val="32"/>
          <w:szCs w:val="32"/>
        </w:rPr>
      </w:pPr>
    </w:p>
    <w:sectPr>
      <w:headerReference w:type="default" r:id="rId4"/>
      <w:footerReference w:type="default" r:id="rId5"/>
      <w:type w:val="nextPage"/>
      <w:pgSz w:w="11906" w:h="16838"/>
      <w:pgMar w:top="1417" w:right="1587" w:bottom="1417" w:left="1701" w:header="851" w:footer="992" w:gutter="0"/>
      <w:paperSrc w:first="0" w:other="0"/>
      <w:pgNumType w:fmt="numberInDash"/>
      <w:cols w:space="708"/>
      <w:titlePg w:val="0"/>
      <w:rtlGutter w:val="0"/>
      <w:docGrid w:type="linesAndChars" w:linePitch="636" w:charSpace="200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tabs>
        <w:tab w:val="center" w:pos="4153"/>
        <w:tab w:val="right" w:pos="8306"/>
      </w:tabs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width:0;height:0;margin-top:0;margin-left:0;mso-position-horizontal-relative:page;mso-position-vertical-relative:page;position:absolute;z-index:251658240" filled="f" stroked="f">
          <v:path strokeok="f" textboxrect="0,0,21600,21600"/>
          <v:textbox>
            <w:txbxContent>
              <w:p>
                <w:r>
                  <w:t>&lt;root&gt;&lt;sender&gt;gxgxtzxc@163.com&lt;/sender&gt;&lt;type&gt;2&lt;/type&gt;&lt;subject&gt;自治区工业和信息化厅关于开展2023年第二批专精特新中小企业认定和2020年专精特新中小企业复核工作的通知(中小处挂网）&lt;/subject&gt;&lt;attachmentName&gt;附件2 专精特新中小企业认定佐证材料清单.docx&lt;/attachmentName&gt;&lt;addressee&gt;xxzx@gxt.gxzf.gov.cn&lt;/addressee&gt;&lt;mailSec&gt;无密级&lt;/mailSec&gt;&lt;sendTime&gt;2023-11-06 15:41:19&lt;/sendTime&gt;&lt;loadTime&gt;2023-11-06 17:09:33&lt;/loadTime&gt;&lt;/root&gt;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visionView w:comments="1" w:formatting="1" w:inkAnnotations="1" w:insDel="1" w:markup="0"/>
  <w:trackRevisions/>
  <w:defaultTabStop w:val="420"/>
  <w:drawingGridHorizontalSpacing w:val="154"/>
  <w:drawingGridVerticalSpacing w:val="318"/>
  <w:displayHorizontalDrawingGridEvery w:val="2"/>
  <w:displayVerticalDrawingGridEvery w:val="2"/>
  <w:noPunctuationKerning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WE1YjA2ODJkYjViMzJlNGJiZjQxZDNiNmJmMjdjYWQifQ==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 w:qFormat="1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Title"/>
    <w:qFormat/>
  </w:style>
  <w:style w:type="paragraph" w:styleId="Title">
    <w:name w:val="Title"/>
    <w:basedOn w:val="Normal"/>
    <w:next w:val="Normal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NormalIndent">
    <w:name w:val="Normal Indent"/>
    <w:qFormat/>
    <w:pPr>
      <w:widowControl w:val="0"/>
      <w:ind w:firstLine="420" w:firstLineChars="20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vision">
    <w:name w:val="Revision"/>
    <w:uiPriority w:val="99"/>
    <w:semiHidden/>
    <w:qFormat/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378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VincentWZ</dc:creator>
  <cp:lastModifiedBy>gxxc</cp:lastModifiedBy>
  <cp:revision>2</cp:revision>
  <dcterms:created xsi:type="dcterms:W3CDTF">2022-06-16T10:43:00Z</dcterms:created>
  <dcterms:modified xsi:type="dcterms:W3CDTF">2023-11-06T09:37:56Z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D0F6402831F34643921902CCEA9997F8</vt:lpwstr>
  </property>
  <property fmtid="{D5CDD505-2E9C-101B-9397-08002B2CF9AE}" pid="3" name="KSOProductBuildVer">
    <vt:lpwstr>2052-11.8.2.9958</vt:lpwstr>
  </property>
  <property fmtid="{D5CDD505-2E9C-101B-9397-08002B2CF9AE}" pid="4" name="慧眼令牌">
    <vt:lpwstr>eyJraWQiOiJvYSIsInR5cCI6IkpXVCIsImFsZyI6IkhTMjU2In0.eyJzdWIiOiJPQS1MT0dJTiIsIm5iZiI6MTY2MzIyMTY1MSwiY29ycElkIjoiIiwiaXNzIjoiRVhPQSIsIm5hbWUiOiLmnY7pm6jnj4IiLCJleHAiOjE5Nzg1ODUyNTEsImlhdCI6MTY2MzIyNDY1MSwidXNlcklkIjoxMzc0MywianRpIjoib2EiLCJhY2NvdW50IjoibGl5ayJ9.JMneM_zEjeGwclYAGDB4Nb0m4v7Ttdtm86eijRA8c_8</vt:lpwstr>
  </property>
</Properties>
</file>