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8.0.0 --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baseline"/>
        <w:rPr>
          <w:rFonts w:ascii="黑体" w:eastAsia="黑体" w:hAnsi="黑体" w:cs="黑体" w:hint="default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BodyText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textAlignment w:val="baseline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val="en-US" w:eastAsia="zh-CN"/>
        </w:rPr>
        <w:t>专精特新中小企业认定标准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baseline"/>
        <w:rPr>
          <w:rFonts w:ascii="楷体" w:eastAsia="楷体" w:hAnsi="楷体" w:cs="楷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 w:val="0"/>
          <w:bCs w:val="0"/>
          <w:sz w:val="32"/>
          <w:szCs w:val="32"/>
          <w:lang w:val="en-US" w:eastAsia="zh-CN"/>
        </w:rPr>
        <w:t>(广西)</w:t>
      </w:r>
    </w:p>
    <w:p>
      <w:pPr>
        <w:pStyle w:val="BodyText"/>
        <w:widowControl w:val="0"/>
        <w:adjustRightInd/>
        <w:snapToGrid/>
        <w:spacing w:after="0" w:line="240" w:lineRule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黑体" w:eastAsia="黑体" w:hAnsi="黑体" w:cs="黑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 w:val="en-US" w:eastAsia="zh-CN"/>
        </w:rPr>
        <w:t>一、认定条件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同时满足以下四项条件即视为满足认定条件：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从事特定细分市场时间达到2年以上。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上年度研发费用总额不低于100万元，且占营业收入总额比重不低于3%。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上年度营业收入总额在1000万元以上，或上年度营业收入总额在1000万元以下，但近2年新增股权融资总额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（合格机构投资者的实缴额）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达到2000万元以上。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评价得分达到60分以上或满足下列条件之一：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1.近三年获得过省级科技奖励，并在获奖单位中排名前三；或获得国家级科技奖励，并在获奖单位中排名前五。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474" w:leftChars="0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2.近两年研发费用总额均值在1000万元以上。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474" w:leftChars="0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3.近两年新增股权融资总额(合格机构投资者的实缴额)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0" w:firstLineChars="0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6000万元以上。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4.近三年进入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创客中国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中小企业创新创业大赛全国500强企业组名单。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黑体" w:eastAsia="黑体" w:hAnsi="黑体" w:cs="黑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 w:val="en-US" w:eastAsia="zh-CN"/>
        </w:rPr>
        <w:t>二、评价指标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（一）专业化指标(满分25分)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1.上年度主营业务收入总额占营业收入总额比重(满分5分)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A.80%以上(5分)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B.70%-80%(3分)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C.60%-70%(1分)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D.60%以下(0分)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2.近2年主营业务收入平均增长率(满分10分)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A.10%以上(10分)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B.8%-10%(8分)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C.6%-8%(6分)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D.4%-6%(4分)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E.0%-4%(2分)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F.0%以下(0分)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3.从事特定细分市场年限(满分5分)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每满2年得1分，最高不超过5分。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4.主导产品所属领域情况(满分5分)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A.在产业链供应链关键环节及关键领域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“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补短板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”“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锻长板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”“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填空白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”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取得实际成效（5分）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B.属于工业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“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六基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”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领域、中华老字号名录或企业主导产品服务关键产业链重点龙头企业(3分)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C.不属于以上情况(0分)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（二）精细化指标(满分25分)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5.数字化水平(满分5分)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A.三级以上(5分)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B.二级(3分)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C.一级(0分)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6.质量管理水平(每满足一项加3分，最高不超过5分)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A.获得省级以上质量奖荣誉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B.建立质量管理体系，获得ISO9001 等质量管理体系认证证书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C.拥有自主品牌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D.参与制修订标准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7.上年度净利润率(满分10分)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A.10%以上(10分)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B.8%-10%(8分)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C.6%-8%(6分)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D.4%-6%(4分)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E.2%-4%(2分)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F.2%以下(0分)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8.上年度资产负债率(满分5分)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A.50%以下(5分)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B.50%-60%(3分)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C.60%-70%(1分)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D.70%以上(0分)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（三）特色化指标（满分15分）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9-1.企业是否属于广西重点发展的新兴产业（满分5分）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A.企业属于《广西工业和信息化高质量发展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“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十四五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”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规划》6条新兴产业链内的企业（5分）</w:t>
      </w:r>
    </w:p>
    <w:p>
      <w:pPr>
        <w:widowControl w:val="0"/>
        <w:adjustRightInd/>
        <w:snapToGrid/>
        <w:spacing w:line="240" w:lineRule="auto"/>
        <w:ind w:firstLine="474" w:firstLineChars="148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B.不属于（0分）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9-2.企业转型升级发展情况（满分7分）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A.属于经省级以上认定的先进制造业集群、中小企业特色产业集群、小型微型企业创业创新示范基地内的企业（每满足一项加1分，最高2分）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属于经省级以上认定的企业技术中心、工程技术研究中心、工业设计中心、绿色制造示范企业、智能制造标杆企业、工业龙头企业、瞪羚企业、独角兽企业、智能工厂、数字化车间（每满足一项加1分，最高4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C.近三年进入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“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创客中国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”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广西壮族自治区创新创业大赛企业组决赛的企业（1分）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D.不属于以上情况（0分）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9-3.企业上市挂牌情况（满分3分）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A.企业已上市（包括主板、创业板、科创板、北交所、全国股转系统、区域性股权交易市场等）（3分）</w:t>
      </w:r>
    </w:p>
    <w:p>
      <w:pPr>
        <w:pStyle w:val="HTMLPreformatted"/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 w:bidi="ar-SA"/>
        </w:rPr>
        <w:t>B.</w:t>
      </w:r>
      <w:r>
        <w:rPr>
          <w:rFonts w:ascii="仿宋_GB2312" w:eastAsia="仿宋_GB2312" w:hAnsi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bidi="ar-SA"/>
        </w:rPr>
        <w:t>企业已启动上市计划（已签约保荐机构或者挂牌券商）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 w:bidi="ar-SA"/>
        </w:rPr>
        <w:t>（2分）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C.不属于以上情况（0分）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（四）创新能力指标(满分35分)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10.与企业主导产品相关的有效知识产权数量(满分10分)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Ⅰ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类高价值知识产权1项以上(10分)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B.自主研发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Ⅰ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类知识产权1项以上(8分)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Ⅰ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类知识产权1项以上(6分)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D.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Ⅱ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类知识产权1项以上(2分)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E.无(0分)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11.上年度研发费用投入(满分10分)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A.研发费用总额500万元以上或研发费用总额占营业收入总额比重在10%以上(10分)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B.研发费用总额400-500万元或研发费用总额占营业收入总额比重在8%-10%(8分)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C.研发费用总额300-400万元或研发费用总额占营业收入总额比重在6%-8%(6分)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D.研发费用总额200-300万元或研发费用总额占营业收入总额比重在4%-6%(4分)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E.研发费用总额100-200万元或研发费用总额占营业收入总额比重在3%-4%(2分)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F.不属于以上情况(0分)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12.上年度研发人员占比 (满分5分)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A.20%以上(5分)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B.10%-20%(3分)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C.5%-10%(1分)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D.5%以下(0分)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13.建立研发机构级别(满分10分)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A.国家级(10分)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B.省级(8分)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C.市级(4分)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D.市级以下(2分)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  <w:t>E.未建立研发机构（0分）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74" w:firstLineChars="148"/>
        <w:jc w:val="both"/>
        <w:textAlignment w:val="baseline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</w:p>
    <w:sectPr>
      <w:headerReference w:type="default" r:id="rId4"/>
      <w:footerReference w:type="default" r:id="rId5"/>
      <w:type w:val="nextPage"/>
      <w:pgSz w:w="11906" w:h="16839"/>
      <w:pgMar w:top="1417" w:right="1587" w:bottom="1417" w:left="1701" w:header="0" w:footer="1213" w:gutter="0"/>
      <w:paperSrc w:first="0" w:other="0"/>
      <w:pgNumType w:fmt="numberInDash" w:chapStyle="0" w:chapSep="hyphen"/>
      <w:cols w:space="708"/>
      <w:titlePg w:val="0"/>
      <w:rtlGutter w:val="0"/>
      <w:docGrid w:type="linesAndChars" w:linePitch="636" w:charSpace="200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line="205" w:lineRule="auto"/>
      <w:ind w:left="3867"/>
      <w:rPr>
        <w:rFonts w:ascii="微软雅黑" w:eastAsia="微软雅黑" w:hAnsi="微软雅黑" w:cs="微软雅黑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49" type="#_x0000_t202" style="width:2in;height:2in;margin-top:0;margin-left:0;mso-position-horizontal:outside;mso-position-horizontal-relative:margin;mso-wrap-style:none;position:absolute;v-text-anchor:top;z-index:251658240" filled="f" stroked="f" strokeweight="0.5pt">
          <v:fill o:detectmouseclick="t"/>
          <v:stroke linestyle="single"/>
          <v:shadow color="gray"/>
          <o:lock v:ext="edit" aspectratio="f"/>
          <v:textbox style="layout-flow:horizontal;mso-fit-shape-to-text:t" inset="0,0,0,0">
            <w:txbxContent>
              <w:p>
                <w:pPr>
                  <w:pStyle w:val="Footer"/>
                  <w:tabs>
                    <w:tab w:val="center" w:pos="4153"/>
                    <w:tab w:val="right" w:pos="8306"/>
                  </w:tabs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50" type="#_x0000_t202" style="width:0;height:0;margin-top:0;margin-left:0;mso-position-horizontal-relative:page;mso-position-vertical-relative:page;position:absolute;z-index:251659264" filled="f" stroked="f">
          <v:path strokeok="f" textboxrect="0,0,21600,21600"/>
          <v:textbox>
            <w:txbxContent>
              <w:p>
                <w:r>
                  <w:t>&lt;root&gt;&lt;sender&gt;gxgxtzxc@163.com&lt;/sender&gt;&lt;type&gt;2&lt;/type&gt;&lt;subject&gt;自治区工业和信息化厅关于开展2023年第二批专精特新中小企业认定和2020年专精特新中小企业复核工作的通知(中小处挂网）&lt;/subject&gt;&lt;attachmentName&gt;附件3 专精特新中小企业认定标准(广西）.docx&lt;/attachmentName&gt;&lt;addressee&gt;xxzx@gxt.gxzf.gov.cn&lt;/addressee&gt;&lt;mailSec&gt;无密级&lt;/mailSec&gt;&lt;sendTime&gt;2023-11-06 15:41:19&lt;/sendTime&gt;&lt;loadTime&gt;2023-11-06 17:09:33&lt;/loadTime&gt;&lt;/root&gt;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FF3F4D"/>
    <w:multiLevelType w:val="singleLevel"/>
    <w:tmpl w:val="91FF3F4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trackRevisions/>
  <w:defaultTabStop w:val="420"/>
  <w:drawingGridHorizontalSpacing w:val="154"/>
  <w:drawingGridVerticalSpacing w:val="318"/>
  <w:displayHorizontalDrawingGridEvery w:val="2"/>
  <w:displayVerticalDrawingGridEvery w:val="2"/>
  <w:noPunctuationKerning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ulTrailSpace/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ZmZjVkMTA4ZWI2NWJlM2E0YTU0YWY3ZTRkOTJlNDY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 w:qFormat="1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itle"/>
    <w:qFormat/>
    <w:pPr>
      <w:spacing w:after="140" w:line="276" w:lineRule="auto"/>
    </w:pPr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NormalIndent">
    <w:name w:val="Normal Indent"/>
    <w:basedOn w:val="Normal"/>
    <w:next w:val="Normal"/>
    <w:qFormat/>
    <w:pPr>
      <w:widowControl w:val="0"/>
      <w:ind w:firstLine="420" w:firstLineChars="200"/>
      <w:jc w:val="both"/>
    </w:pPr>
    <w:rPr>
      <w:rFonts w:ascii="Times New Roman" w:eastAsia="宋体" w:hAnsi="Times New Roman" w:cs="Times New Roman"/>
      <w:kern w:val="2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 w:hint="eastAsia"/>
      <w:kern w:val="0"/>
      <w:sz w:val="24"/>
      <w:szCs w:val="24"/>
      <w:lang w:val="en-US" w:eastAsia="zh-CN" w:bidi="ar"/>
    </w:rPr>
  </w:style>
  <w:style w:type="table" w:customStyle="1" w:styleId="TableNormal0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157266240</TotalTime>
  <Pages>25</Pages>
  <Words>8649</Words>
  <Characters>9242</Characters>
  <Application>Microsoft Office Word</Application>
  <DocSecurity>0</DocSecurity>
  <Lines>78</Lines>
  <Paragraphs>22</Paragraphs>
  <ScaleCrop>false</ScaleCrop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2</dc:title>
  <dc:creator>lenovo</dc:creator>
  <cp:lastModifiedBy>gxxc</cp:lastModifiedBy>
  <cp:revision>2</cp:revision>
  <dcterms:created xsi:type="dcterms:W3CDTF">2022-12-13T17:42:00Z</dcterms:created>
  <dcterms:modified xsi:type="dcterms:W3CDTF">2023-04-14T16:42:27Z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2023-02-18T22:13:20Z</vt:filetime>
  </property>
  <property fmtid="{D5CDD505-2E9C-101B-9397-08002B2CF9AE}" pid="3" name="CRO">
    <vt:lpwstr>wqlLaW5nc29mdCBQREYgdG8gV1BTIDgw</vt:lpwstr>
  </property>
  <property fmtid="{D5CDD505-2E9C-101B-9397-08002B2CF9AE}" pid="4" name="ICV">
    <vt:lpwstr>E1F8DB20632A417294FA5AEC0C39EF0F</vt:lpwstr>
  </property>
  <property fmtid="{D5CDD505-2E9C-101B-9397-08002B2CF9AE}" pid="5" name="KSOProductBuildVer">
    <vt:lpwstr>2052-11.8.2.10337</vt:lpwstr>
  </property>
  <property fmtid="{D5CDD505-2E9C-101B-9397-08002B2CF9AE}" pid="6" name="慧眼令牌">
    <vt:lpwstr>eyJraWQiOiJvYSIsInR5cCI6IkpXVCIsImFsZyI6IkhTMjU2In0.eyJzdWIiOiJPQS1MT0dJTiIsIm5iZiI6MTY3NzcxMTk5OCwiY29ycElkIjoiIiwiaXNzIjoiRVhPQSIsIm5hbWUiOiLnp6bpuKMiLCJleHAiOjE5OTMwNzU1OTgsImlhdCI6MTY3NzcxNDk5OCwidXNlcklkIjoxMzc2MCwianRpIjoib2EiLCJhY2NvdW50IjoicWlubSJ9.j2msy3UxRjPceCcb-BpU6CyCfA-KEuk3iDEXZpqI71c</vt:lpwstr>
  </property>
</Properties>
</file>