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27.010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F 01</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45</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广西</w:t>
      </w:r>
      <w:r>
        <w:rPr>
          <w:rFonts w:ascii="黑体" w:eastAsia="黑体"/>
          <w:b w:val="0"/>
          <w:w w:val="100"/>
          <w:sz w:val="48"/>
        </w:rPr>
        <w:t>壮族自治区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45</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白酒原酒单位产品能源消耗限额</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The norm of energy consumption per unit product of</w:t>
      </w:r>
      <w:r>
        <w:rPr>
          <w:rFonts w:hint="eastAsia" w:eastAsia="黑体"/>
          <w:szCs w:val="28"/>
        </w:rPr>
        <w:t xml:space="preserve"> crude baijiu</w:t>
      </w:r>
      <w:r>
        <w:rPr>
          <w:rFonts w:eastAsia="黑体"/>
          <w:szCs w:val="28"/>
        </w:rPr>
        <w:t>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（本草案完成时间：2023年12月）</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w:t>
      </w:r>
      <w:r>
        <w:rPr>
          <w:rFonts w:hAnsi="黑体"/>
          <w:w w:val="100"/>
          <w:sz w:val="28"/>
        </w:rPr>
        <w:t>壮族自治区市场</w:t>
      </w:r>
      <w:r>
        <w:rPr>
          <w:rFonts w:hint="eastAsia" w:hAnsi="黑体"/>
          <w:w w:val="100"/>
          <w:sz w:val="28"/>
        </w:rPr>
        <w:t>监督</w:t>
      </w:r>
      <w:r>
        <w:rPr>
          <w:rFonts w:hAnsi="黑体"/>
          <w:w w:val="100"/>
          <w:sz w:val="28"/>
        </w:rPr>
        <w:t>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本文件由广西壮族自治区工业和信息化厅提出、归口并宣贯。</w:t>
      </w:r>
    </w:p>
    <w:p>
      <w:pPr>
        <w:pStyle w:val="56"/>
        <w:ind w:firstLine="420"/>
      </w:pPr>
      <w:r>
        <w:rPr>
          <w:rFonts w:hint="eastAsia"/>
        </w:rPr>
        <w:t>本文件起草单位：广西壮族自治区节能监察中心、河池市节能监察中心、贵港市节能监察中心、南宁市超达节能环保科技有限公司、广西致协节能技术服务有限公司、罗城仫佬族自治县节能监察中心、广西丹泉酒业有限公司、广西天龙泉酒业有限公司、广西桂平乳泉液酒业有限公司、桂林三花股份有限公司。</w:t>
      </w:r>
    </w:p>
    <w:p>
      <w:pPr>
        <w:pStyle w:val="56"/>
        <w:ind w:firstLine="420"/>
      </w:pPr>
      <w:r>
        <w:rPr>
          <w:rFonts w:hint="eastAsia"/>
        </w:rPr>
        <w:t>本文件主要起草人：</w:t>
      </w:r>
      <w:r>
        <w:t xml:space="preserve"> 张显君</w:t>
      </w:r>
      <w:r>
        <w:rPr>
          <w:rFonts w:hint="eastAsia"/>
        </w:rPr>
        <w:t>、</w:t>
      </w:r>
      <w:r>
        <w:t>黄东亮</w:t>
      </w:r>
      <w:r>
        <w:rPr>
          <w:rFonts w:hint="eastAsia"/>
        </w:rPr>
        <w:t>、</w:t>
      </w:r>
      <w:r>
        <w:t>胡卫东</w:t>
      </w:r>
      <w:r>
        <w:rPr>
          <w:rFonts w:hint="eastAsia"/>
        </w:rPr>
        <w:t>、</w:t>
      </w:r>
      <w:r>
        <w:t>程思超</w:t>
      </w:r>
      <w:r>
        <w:rPr>
          <w:rFonts w:hint="eastAsia"/>
        </w:rPr>
        <w:t>、</w:t>
      </w:r>
      <w:r>
        <w:t>刘敬东</w:t>
      </w:r>
      <w:r>
        <w:rPr>
          <w:rFonts w:hint="eastAsia"/>
        </w:rPr>
        <w:t>、</w:t>
      </w:r>
      <w:r>
        <w:t>梁义成</w:t>
      </w:r>
      <w:r>
        <w:rPr>
          <w:rFonts w:hint="eastAsia"/>
        </w:rPr>
        <w:t>、夏倩梅、陆锡恩、吕宗玲、欧阳朋、叶蕾、姜江、兰翔、谢活、郑广雄、杨学渊、莫于旺、梁基才、林一雄、李旌、李云、刘冠良、韦邦听、黄予奕、陈嘉波、周海妙、韦善海、蒋舒、陶力钰。</w:t>
      </w:r>
    </w:p>
    <w:p>
      <w:pPr>
        <w:pStyle w:val="56"/>
        <w:ind w:firstLine="420"/>
      </w:pPr>
    </w:p>
    <w:p>
      <w:pPr>
        <w:pStyle w:val="56"/>
        <w:ind w:firstLine="420"/>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424523D13A774DB4BB38CF5DDF7C15D5"/>
        </w:placeholder>
      </w:sdtPr>
      <w:sdtContent>
        <w:p>
          <w:pPr>
            <w:pStyle w:val="177"/>
            <w:spacing w:before="3" w:beforeLines="1" w:after="686" w:afterLines="220"/>
          </w:pPr>
          <w:bookmarkStart w:id="23" w:name="NEW_STAND_NAME"/>
          <w:r>
            <w:rPr>
              <w:rFonts w:hint="eastAsia"/>
            </w:rPr>
            <w:t>白酒原酒单位产品能源消耗限额</w:t>
          </w:r>
        </w:p>
      </w:sdtContent>
    </w:sdt>
    <w:bookmarkEnd w:id="23"/>
    <w:p>
      <w:pPr>
        <w:pStyle w:val="104"/>
        <w:spacing w:before="312" w:after="312"/>
      </w:pPr>
      <w:bookmarkStart w:id="24" w:name="_Toc24884218"/>
      <w:bookmarkStart w:id="25" w:name="_Toc26648465"/>
      <w:bookmarkStart w:id="26" w:name="_Toc26718930"/>
      <w:bookmarkStart w:id="27" w:name="_Toc24884211"/>
      <w:bookmarkStart w:id="28" w:name="_Toc17233333"/>
      <w:bookmarkStart w:id="29" w:name="_Toc26986771"/>
      <w:bookmarkStart w:id="30" w:name="_Toc17233325"/>
      <w:bookmarkStart w:id="31" w:name="_Toc26986530"/>
      <w:r>
        <w:rPr>
          <w:rFonts w:hint="eastAsia"/>
        </w:rPr>
        <w:t>范围</w:t>
      </w:r>
      <w:bookmarkEnd w:id="24"/>
      <w:bookmarkEnd w:id="25"/>
      <w:bookmarkEnd w:id="26"/>
      <w:bookmarkEnd w:id="27"/>
      <w:bookmarkEnd w:id="28"/>
      <w:bookmarkEnd w:id="29"/>
      <w:bookmarkEnd w:id="30"/>
      <w:bookmarkEnd w:id="31"/>
    </w:p>
    <w:p>
      <w:pPr>
        <w:pStyle w:val="56"/>
        <w:ind w:firstLine="420"/>
      </w:pPr>
      <w:bookmarkStart w:id="32" w:name="_Toc24884212"/>
      <w:bookmarkStart w:id="33" w:name="_Toc24884219"/>
      <w:bookmarkStart w:id="34" w:name="_Toc17233326"/>
      <w:bookmarkStart w:id="35" w:name="_Toc26648466"/>
      <w:bookmarkStart w:id="36" w:name="_Toc17233334"/>
      <w:r>
        <w:rPr>
          <w:rFonts w:hint="eastAsia"/>
        </w:rPr>
        <w:t>本文件规定了白酒原酒单位产品能源消耗限额等级、技术要求、统计范围和计算方法。</w:t>
      </w:r>
    </w:p>
    <w:p>
      <w:pPr>
        <w:pStyle w:val="56"/>
        <w:ind w:firstLine="420"/>
      </w:pPr>
      <w:r>
        <w:rPr>
          <w:rFonts w:hint="eastAsia"/>
        </w:rPr>
        <w:t>本文件适用于白酒原酒生产企业的能源消耗计算、考核，以及对新（改、扩）建项目的能耗控制。</w:t>
      </w:r>
    </w:p>
    <w:p>
      <w:pPr>
        <w:pStyle w:val="104"/>
        <w:spacing w:before="312" w:after="312"/>
      </w:pPr>
      <w:bookmarkStart w:id="37" w:name="_Toc26986531"/>
      <w:bookmarkStart w:id="38" w:name="_Toc267189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A9BB47DD81D54985AE69A8558C566E4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2589  综合能耗计算通则</w:t>
      </w:r>
    </w:p>
    <w:p>
      <w:pPr>
        <w:pStyle w:val="56"/>
        <w:ind w:firstLine="420"/>
      </w:pPr>
      <w:r>
        <w:rPr>
          <w:rFonts w:hint="eastAsia"/>
        </w:rPr>
        <w:t>GB/T 12723  单位产品能源消耗限额编制通则</w:t>
      </w:r>
    </w:p>
    <w:p>
      <w:pPr>
        <w:pStyle w:val="56"/>
        <w:ind w:firstLine="420"/>
      </w:pPr>
      <w:r>
        <w:rPr>
          <w:rFonts w:hint="eastAsia"/>
        </w:rPr>
        <w:t>GB 17167  用能单位能源计量器具配备和管理通则</w:t>
      </w:r>
    </w:p>
    <w:p>
      <w:pPr>
        <w:pStyle w:val="56"/>
        <w:ind w:firstLine="420"/>
      </w:pPr>
      <w:r>
        <w:rPr>
          <w:rFonts w:hint="eastAsia"/>
        </w:rPr>
        <w:t>GB/T 15109  白酒工业术语</w:t>
      </w:r>
    </w:p>
    <w:p>
      <w:pPr>
        <w:pStyle w:val="104"/>
        <w:spacing w:before="312" w:after="312"/>
      </w:pPr>
      <w:r>
        <w:rPr>
          <w:rFonts w:hint="eastAsia"/>
          <w:szCs w:val="21"/>
        </w:rPr>
        <w:t>术语和定义</w:t>
      </w:r>
    </w:p>
    <w:sdt>
      <w:sdtPr>
        <w:rPr>
          <w:rFonts w:hint="eastAsia"/>
        </w:rPr>
        <w:id w:val="-1909835108"/>
        <w:placeholder>
          <w:docPart w:val="F1CFAE89248447349AF10DE48163A67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56"/>
            <w:ind w:firstLine="420"/>
          </w:pPr>
          <w:bookmarkStart w:id="40" w:name="_Toc26986532"/>
          <w:bookmarkEnd w:id="40"/>
          <w:r>
            <w:rPr>
              <w:rFonts w:hint="eastAsia"/>
            </w:rPr>
            <w:t>GB/T 2589、GB/T 12723界定的以及下列术语和定义适用于本文件。</w:t>
          </w:r>
        </w:p>
      </w:sdtContent>
    </w:sdt>
    <w:p>
      <w:pPr>
        <w:pStyle w:val="105"/>
        <w:spacing w:before="156" w:after="156"/>
        <w:rPr>
          <w:rFonts w:hAnsi="黑体"/>
        </w:rPr>
      </w:pPr>
      <w:r>
        <w:rPr>
          <w:rFonts w:hAnsi="黑体"/>
        </w:rPr>
        <w:br w:type="textWrapping"/>
      </w:r>
      <w:r>
        <w:rPr>
          <w:rFonts w:hint="eastAsia" w:hAnsi="黑体"/>
        </w:rPr>
        <w:t xml:space="preserve">    白酒原酒 C</w:t>
      </w:r>
      <w:r>
        <w:rPr>
          <w:rFonts w:hAnsi="黑体"/>
        </w:rPr>
        <w:t>rude baijiu</w:t>
      </w:r>
    </w:p>
    <w:p>
      <w:pPr>
        <w:pStyle w:val="56"/>
        <w:ind w:firstLine="420"/>
      </w:pPr>
      <w:r>
        <w:rPr>
          <w:rFonts w:hint="eastAsia"/>
        </w:rPr>
        <w:t>经发酵、蒸馏而得到的未经勾调的酒。</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白酒原酒</w:t>
      </w:r>
      <w:r>
        <w:rPr>
          <w:rFonts w:ascii="黑体" w:hAnsi="黑体" w:eastAsia="黑体"/>
        </w:rPr>
        <w:t>综合能耗</w:t>
      </w:r>
      <w:r>
        <w:rPr>
          <w:rFonts w:hint="eastAsia" w:ascii="黑体" w:hAnsi="黑体" w:eastAsia="黑体"/>
        </w:rPr>
        <w:t xml:space="preserve">  comprehensive energy consumption of crude baijiu</w:t>
      </w:r>
    </w:p>
    <w:p>
      <w:pPr>
        <w:pStyle w:val="223"/>
        <w:numPr>
          <w:ilvl w:val="0"/>
          <w:numId w:val="0"/>
        </w:numPr>
        <w:ind w:left="420"/>
      </w:pPr>
      <w:r>
        <w:rPr>
          <w:rFonts w:hint="eastAsia"/>
        </w:rPr>
        <w:t>统计报告期内，白酒原酒生产过程中实际消耗的各种能源总量。</w:t>
      </w:r>
    </w:p>
    <w:p>
      <w:pPr>
        <w:pStyle w:val="223"/>
        <w:numPr>
          <w:ilvl w:val="0"/>
          <w:numId w:val="0"/>
        </w:numPr>
        <w:ind w:left="420"/>
      </w:pP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白酒原酒</w:t>
      </w:r>
      <w:r>
        <w:rPr>
          <w:rFonts w:ascii="黑体" w:hAnsi="黑体" w:eastAsia="黑体"/>
        </w:rPr>
        <w:t>单位产品综合能耗</w:t>
      </w:r>
      <w:r>
        <w:rPr>
          <w:rFonts w:hint="eastAsia" w:ascii="黑体" w:hAnsi="黑体" w:eastAsia="黑体"/>
        </w:rPr>
        <w:t xml:space="preserve">  comprehensive energy consumption per unit for crude baijiu</w:t>
      </w:r>
    </w:p>
    <w:p>
      <w:pPr>
        <w:pStyle w:val="223"/>
        <w:numPr>
          <w:ilvl w:val="0"/>
          <w:numId w:val="0"/>
        </w:numPr>
        <w:ind w:left="420"/>
        <w:rPr>
          <w:rFonts w:ascii="黑体" w:hAnsi="黑体" w:eastAsia="黑体"/>
        </w:rPr>
      </w:pPr>
      <w:r>
        <w:rPr>
          <w:rFonts w:hint="eastAsia"/>
        </w:rPr>
        <w:t>统计报告期内，白酒原酒综合能耗与合格白酒原酒产品产量的比值。</w:t>
      </w:r>
    </w:p>
    <w:p>
      <w:pPr>
        <w:pStyle w:val="104"/>
        <w:spacing w:before="312" w:after="312"/>
      </w:pPr>
      <w:r>
        <w:t>能耗限额等级</w:t>
      </w:r>
    </w:p>
    <w:p>
      <w:pPr>
        <w:pStyle w:val="56"/>
        <w:ind w:firstLine="420"/>
      </w:pPr>
      <w:r>
        <w:rPr>
          <w:rFonts w:hint="eastAsia"/>
        </w:rPr>
        <w:t>白酒原酒单位产品能源消耗限额等级见表1，其中1级能耗最低。</w:t>
      </w:r>
    </w:p>
    <w:p>
      <w:pPr>
        <w:pStyle w:val="56"/>
        <w:ind w:firstLine="420"/>
      </w:pPr>
    </w:p>
    <w:p>
      <w:pPr>
        <w:pStyle w:val="56"/>
        <w:ind w:firstLine="420"/>
      </w:pPr>
    </w:p>
    <w:p>
      <w:pPr>
        <w:pStyle w:val="56"/>
        <w:ind w:firstLine="420"/>
      </w:pPr>
    </w:p>
    <w:p>
      <w:pPr>
        <w:pStyle w:val="56"/>
        <w:ind w:firstLine="420"/>
      </w:pPr>
    </w:p>
    <w:p>
      <w:pPr>
        <w:pStyle w:val="112"/>
        <w:spacing w:before="156" w:after="156"/>
      </w:pPr>
      <w:r>
        <w:rPr>
          <w:rFonts w:hint="eastAsia"/>
        </w:rPr>
        <w:t>白酒原酒单位产品能源消耗限额等级</w:t>
      </w:r>
    </w:p>
    <w:tbl>
      <w:tblPr>
        <w:tblStyle w:val="27"/>
        <w:tblpPr w:leftFromText="180" w:rightFromText="180" w:vertAnchor="text" w:horzAnchor="page" w:tblpX="1373" w:tblpY="244"/>
        <w:tblOverlap w:val="never"/>
        <w:tblW w:w="502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53"/>
        <w:gridCol w:w="2351"/>
        <w:gridCol w:w="2351"/>
        <w:gridCol w:w="23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1250" w:type="pct"/>
            <w:vMerge w:val="restart"/>
            <w:tcBorders>
              <w:top w:val="single" w:color="auto" w:sz="8" w:space="0"/>
            </w:tcBorders>
            <w:shd w:val="clear" w:color="auto" w:fill="auto"/>
            <w:vAlign w:val="center"/>
          </w:tcPr>
          <w:p>
            <w:pPr>
              <w:pStyle w:val="178"/>
            </w:pPr>
            <w:r>
              <w:rPr>
                <w:rFonts w:hint="eastAsia"/>
              </w:rPr>
              <w:t>类别</w:t>
            </w:r>
          </w:p>
        </w:tc>
        <w:tc>
          <w:tcPr>
            <w:tcW w:w="3749" w:type="pct"/>
            <w:gridSpan w:val="3"/>
            <w:tcBorders>
              <w:top w:val="single" w:color="auto" w:sz="8" w:space="0"/>
              <w:bottom w:val="single" w:color="auto" w:sz="8" w:space="0"/>
            </w:tcBorders>
            <w:shd w:val="clear" w:color="auto" w:fill="auto"/>
            <w:vAlign w:val="center"/>
          </w:tcPr>
          <w:p>
            <w:pPr>
              <w:pStyle w:val="178"/>
            </w:pPr>
            <w:r>
              <w:t>能源消耗等级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1250" w:type="pct"/>
            <w:vMerge w:val="continue"/>
            <w:shd w:val="clear" w:color="auto" w:fill="auto"/>
            <w:vAlign w:val="center"/>
          </w:tcPr>
          <w:p>
            <w:pPr>
              <w:pStyle w:val="178"/>
            </w:pPr>
          </w:p>
        </w:tc>
        <w:tc>
          <w:tcPr>
            <w:tcW w:w="1249" w:type="pct"/>
            <w:tcBorders>
              <w:top w:val="single" w:color="auto" w:sz="8" w:space="0"/>
            </w:tcBorders>
            <w:shd w:val="clear" w:color="auto" w:fill="auto"/>
            <w:vAlign w:val="center"/>
          </w:tcPr>
          <w:p>
            <w:pPr>
              <w:pStyle w:val="178"/>
            </w:pPr>
            <w:r>
              <w:rPr>
                <w:rFonts w:hint="eastAsia"/>
              </w:rPr>
              <w:t>1级</w:t>
            </w:r>
          </w:p>
        </w:tc>
        <w:tc>
          <w:tcPr>
            <w:tcW w:w="1249" w:type="pct"/>
            <w:tcBorders>
              <w:top w:val="single" w:color="auto" w:sz="8" w:space="0"/>
            </w:tcBorders>
            <w:shd w:val="clear" w:color="auto" w:fill="auto"/>
            <w:vAlign w:val="center"/>
          </w:tcPr>
          <w:p>
            <w:pPr>
              <w:pStyle w:val="178"/>
            </w:pPr>
            <w:r>
              <w:rPr>
                <w:rFonts w:hint="eastAsia"/>
              </w:rPr>
              <w:t>2级</w:t>
            </w:r>
          </w:p>
        </w:tc>
        <w:tc>
          <w:tcPr>
            <w:tcW w:w="1250" w:type="pct"/>
            <w:tcBorders>
              <w:top w:val="single" w:color="auto" w:sz="8" w:space="0"/>
            </w:tcBorders>
            <w:shd w:val="clear" w:color="auto" w:fill="auto"/>
            <w:vAlign w:val="center"/>
          </w:tcPr>
          <w:p>
            <w:pPr>
              <w:pStyle w:val="178"/>
            </w:pPr>
            <w:r>
              <w:rPr>
                <w:rFonts w:hint="eastAsia"/>
              </w:rPr>
              <w:t>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50" w:type="pct"/>
            <w:shd w:val="clear" w:color="auto" w:fill="auto"/>
            <w:vAlign w:val="center"/>
          </w:tcPr>
          <w:p>
            <w:pPr>
              <w:pStyle w:val="178"/>
            </w:pPr>
            <w:r>
              <w:rPr>
                <w:rFonts w:hint="eastAsia"/>
              </w:rPr>
              <w:t>酱香型/（kgce/kL）</w:t>
            </w:r>
          </w:p>
        </w:tc>
        <w:tc>
          <w:tcPr>
            <w:tcW w:w="1249" w:type="pct"/>
            <w:tcBorders>
              <w:top w:val="single" w:color="auto" w:sz="8" w:space="0"/>
            </w:tcBorders>
            <w:shd w:val="clear" w:color="auto" w:fill="auto"/>
            <w:vAlign w:val="center"/>
          </w:tcPr>
          <w:p>
            <w:pPr>
              <w:pStyle w:val="178"/>
            </w:pPr>
            <w:r>
              <w:rPr>
                <w:rFonts w:hint="eastAsia"/>
              </w:rPr>
              <w:t>≤</w:t>
            </w:r>
            <w:r>
              <w:rPr>
                <w:rFonts w:hint="eastAsia"/>
                <w:lang w:val="en-US" w:eastAsia="zh-CN"/>
              </w:rPr>
              <w:t>100</w:t>
            </w:r>
            <w:r>
              <w:rPr>
                <w:rFonts w:hint="eastAsia"/>
              </w:rPr>
              <w:t>0</w:t>
            </w:r>
          </w:p>
        </w:tc>
        <w:tc>
          <w:tcPr>
            <w:tcW w:w="1249" w:type="pct"/>
            <w:tcBorders>
              <w:top w:val="single" w:color="auto" w:sz="8" w:space="0"/>
            </w:tcBorders>
            <w:shd w:val="clear" w:color="auto" w:fill="auto"/>
            <w:vAlign w:val="center"/>
          </w:tcPr>
          <w:p>
            <w:pPr>
              <w:pStyle w:val="178"/>
            </w:pPr>
            <w:r>
              <w:rPr>
                <w:rFonts w:hint="eastAsia"/>
              </w:rPr>
              <w:t>≤1</w:t>
            </w:r>
            <w:r>
              <w:rPr>
                <w:rFonts w:hint="eastAsia"/>
                <w:lang w:val="en-US" w:eastAsia="zh-CN"/>
              </w:rPr>
              <w:t>3</w:t>
            </w:r>
            <w:r>
              <w:rPr>
                <w:rFonts w:hint="eastAsia"/>
              </w:rPr>
              <w:t>00</w:t>
            </w:r>
          </w:p>
        </w:tc>
        <w:tc>
          <w:tcPr>
            <w:tcW w:w="1250" w:type="pct"/>
            <w:tcBorders>
              <w:top w:val="single" w:color="auto" w:sz="8" w:space="0"/>
            </w:tcBorders>
            <w:shd w:val="clear" w:color="auto" w:fill="auto"/>
            <w:vAlign w:val="center"/>
          </w:tcPr>
          <w:p>
            <w:pPr>
              <w:pStyle w:val="178"/>
            </w:pPr>
            <w:r>
              <w:rPr>
                <w:rFonts w:hint="eastAsia"/>
              </w:rPr>
              <w:t>≤1</w:t>
            </w:r>
            <w:r>
              <w:rPr>
                <w:rFonts w:hint="eastAsia"/>
                <w:lang w:val="en-US" w:eastAsia="zh-CN"/>
              </w:rPr>
              <w:t>7</w:t>
            </w:r>
            <w:bookmarkStart w:id="42" w:name="_GoBack"/>
            <w:bookmarkEnd w:id="42"/>
            <w:r>
              <w:rPr>
                <w:rFonts w:hint="eastAsia"/>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50" w:type="pct"/>
            <w:shd w:val="clear" w:color="auto" w:fill="auto"/>
            <w:vAlign w:val="center"/>
          </w:tcPr>
          <w:p>
            <w:pPr>
              <w:pStyle w:val="178"/>
            </w:pPr>
            <w:r>
              <w:rPr>
                <w:rFonts w:hint="eastAsia"/>
              </w:rPr>
              <w:t>浓香型/（kgce/kL）</w:t>
            </w:r>
          </w:p>
        </w:tc>
        <w:tc>
          <w:tcPr>
            <w:tcW w:w="1249" w:type="pct"/>
            <w:shd w:val="clear" w:color="auto" w:fill="auto"/>
            <w:vAlign w:val="center"/>
          </w:tcPr>
          <w:p>
            <w:pPr>
              <w:pStyle w:val="178"/>
            </w:pPr>
            <w:r>
              <w:rPr>
                <w:rFonts w:hint="eastAsia"/>
              </w:rPr>
              <w:t>≤1300</w:t>
            </w:r>
          </w:p>
        </w:tc>
        <w:tc>
          <w:tcPr>
            <w:tcW w:w="1249" w:type="pct"/>
            <w:shd w:val="clear" w:color="auto" w:fill="auto"/>
            <w:vAlign w:val="center"/>
          </w:tcPr>
          <w:p>
            <w:pPr>
              <w:pStyle w:val="178"/>
            </w:pPr>
            <w:r>
              <w:rPr>
                <w:rFonts w:hint="eastAsia"/>
              </w:rPr>
              <w:t>≤1600</w:t>
            </w:r>
          </w:p>
        </w:tc>
        <w:tc>
          <w:tcPr>
            <w:tcW w:w="1250" w:type="pct"/>
            <w:shd w:val="clear" w:color="auto" w:fill="auto"/>
            <w:vAlign w:val="center"/>
          </w:tcPr>
          <w:p>
            <w:pPr>
              <w:pStyle w:val="178"/>
            </w:pPr>
            <w:r>
              <w:rPr>
                <w:rFonts w:hint="eastAsia"/>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250" w:type="pct"/>
            <w:shd w:val="clear" w:color="auto" w:fill="auto"/>
            <w:vAlign w:val="center"/>
          </w:tcPr>
          <w:p>
            <w:pPr>
              <w:pStyle w:val="178"/>
            </w:pPr>
            <w:r>
              <w:rPr>
                <w:rFonts w:hint="eastAsia"/>
              </w:rPr>
              <w:t>米香型/（kgce/kL）</w:t>
            </w:r>
          </w:p>
        </w:tc>
        <w:tc>
          <w:tcPr>
            <w:tcW w:w="1249" w:type="pct"/>
            <w:shd w:val="clear" w:color="auto" w:fill="auto"/>
            <w:vAlign w:val="center"/>
          </w:tcPr>
          <w:p>
            <w:pPr>
              <w:pStyle w:val="178"/>
            </w:pPr>
            <w:r>
              <w:rPr>
                <w:rFonts w:hint="eastAsia"/>
              </w:rPr>
              <w:t>≤480</w:t>
            </w:r>
          </w:p>
        </w:tc>
        <w:tc>
          <w:tcPr>
            <w:tcW w:w="1249" w:type="pct"/>
            <w:shd w:val="clear" w:color="auto" w:fill="auto"/>
            <w:vAlign w:val="center"/>
          </w:tcPr>
          <w:p>
            <w:pPr>
              <w:pStyle w:val="178"/>
            </w:pPr>
            <w:r>
              <w:rPr>
                <w:rFonts w:hint="eastAsia"/>
              </w:rPr>
              <w:t>≤560</w:t>
            </w:r>
          </w:p>
        </w:tc>
        <w:tc>
          <w:tcPr>
            <w:tcW w:w="1250" w:type="pct"/>
            <w:shd w:val="clear" w:color="auto" w:fill="auto"/>
            <w:vAlign w:val="center"/>
          </w:tcPr>
          <w:p>
            <w:pPr>
              <w:pStyle w:val="178"/>
            </w:pPr>
            <w:r>
              <w:rPr>
                <w:rFonts w:hint="eastAsia"/>
              </w:rPr>
              <w:t>≤680</w:t>
            </w:r>
          </w:p>
        </w:tc>
      </w:tr>
    </w:tbl>
    <w:p>
      <w:pPr>
        <w:pStyle w:val="104"/>
        <w:spacing w:before="312" w:after="312"/>
      </w:pPr>
      <w:r>
        <w:rPr>
          <w:rFonts w:hint="eastAsia"/>
        </w:rPr>
        <w:t>技术要求</w:t>
      </w:r>
    </w:p>
    <w:p>
      <w:pPr>
        <w:pStyle w:val="162"/>
      </w:pPr>
      <w:r>
        <w:rPr>
          <w:rFonts w:hint="eastAsia"/>
        </w:rPr>
        <w:t>现有白酒原酒生产企业单位产品能源消耗限定值应符合表1中的3级要求。</w:t>
      </w:r>
    </w:p>
    <w:p>
      <w:pPr>
        <w:pStyle w:val="162"/>
      </w:pPr>
      <w:r>
        <w:rPr>
          <w:rFonts w:hint="eastAsia"/>
        </w:rPr>
        <w:t>新（改、扩）建白酒原酒生产企业单位产品能源消耗准入值应符合表1中的2级要求。</w:t>
      </w:r>
    </w:p>
    <w:p>
      <w:pPr>
        <w:pStyle w:val="104"/>
        <w:spacing w:before="312" w:after="312"/>
      </w:pPr>
      <w:r>
        <w:rPr>
          <w:rFonts w:hint="eastAsia"/>
        </w:rPr>
        <w:t>统计</w:t>
      </w:r>
      <w:r>
        <w:t>范围和</w:t>
      </w:r>
      <w:r>
        <w:rPr>
          <w:rFonts w:hint="eastAsia"/>
        </w:rPr>
        <w:t>计算</w:t>
      </w:r>
      <w:r>
        <w:t>方法</w:t>
      </w:r>
    </w:p>
    <w:p>
      <w:pPr>
        <w:pStyle w:val="105"/>
        <w:spacing w:before="156" w:after="156"/>
      </w:pPr>
      <w:r>
        <w:rPr>
          <w:rFonts w:hint="eastAsia"/>
        </w:rPr>
        <w:t>统计</w:t>
      </w:r>
      <w:r>
        <w:t>范围</w:t>
      </w:r>
    </w:p>
    <w:p>
      <w:pPr>
        <w:pStyle w:val="65"/>
        <w:spacing w:before="156" w:after="156"/>
        <w:rPr>
          <w:rFonts w:ascii="宋体" w:eastAsia="宋体"/>
        </w:rPr>
      </w:pPr>
      <w:r>
        <w:rPr>
          <w:rFonts w:hint="eastAsia" w:ascii="宋体" w:eastAsia="宋体"/>
        </w:rPr>
        <w:t>白酒原酒综合能耗统计范围应包括原料进厂到原酒生产过程消耗的各种能源。不包括成品勾调、灌装、基建和技改用能。</w:t>
      </w:r>
    </w:p>
    <w:p>
      <w:pPr>
        <w:pStyle w:val="65"/>
        <w:spacing w:before="156" w:after="156"/>
        <w:rPr>
          <w:rFonts w:ascii="宋体" w:eastAsia="宋体"/>
        </w:rPr>
      </w:pPr>
      <w:r>
        <w:rPr>
          <w:rFonts w:hint="eastAsia" w:ascii="宋体" w:eastAsia="宋体"/>
        </w:rPr>
        <w:t>实际消耗的燃料能源应以实测值的收到基低位发热量为计算依据折算为标准煤量，无法获得实测值的,其折标准煤系数可参照GB/T 2589中给定的折算标准煤参考系数。</w:t>
      </w:r>
    </w:p>
    <w:p>
      <w:pPr>
        <w:pStyle w:val="65"/>
        <w:spacing w:before="156" w:after="156"/>
        <w:rPr>
          <w:rFonts w:hint="eastAsia" w:ascii="宋体" w:eastAsia="宋体"/>
        </w:rPr>
      </w:pPr>
      <w:r>
        <w:rPr>
          <w:rFonts w:hint="eastAsia" w:ascii="宋体" w:eastAsia="宋体"/>
        </w:rPr>
        <w:t>能源计量器具配备应符合GB 17167的要求。</w:t>
      </w:r>
    </w:p>
    <w:p>
      <w:pPr>
        <w:pStyle w:val="165"/>
      </w:pPr>
      <w:r>
        <w:rPr>
          <w:rFonts w:hint="eastAsia"/>
        </w:rPr>
        <w:t>白酒原酒产品产量按企业检验合格品折成标准酒精度（65%vol)的产量计。</w:t>
      </w:r>
    </w:p>
    <w:p>
      <w:pPr>
        <w:pStyle w:val="105"/>
        <w:spacing w:before="156" w:after="156"/>
      </w:pPr>
      <w:r>
        <w:t>计算方法</w:t>
      </w:r>
    </w:p>
    <w:p>
      <w:pPr>
        <w:pStyle w:val="165"/>
      </w:pPr>
      <w:r>
        <w:rPr>
          <w:rFonts w:hint="eastAsia"/>
        </w:rPr>
        <w:t>白酒原酒综合能耗按式（1）计算：</w:t>
      </w:r>
    </w:p>
    <w:p>
      <w:pPr>
        <w:pStyle w:val="113"/>
      </w:pPr>
      <w:r>
        <w:tab/>
      </w:r>
      <m:oMath>
        <m:r>
          <m:rPr>
            <m:nor/>
          </m:rPr>
          <w:rPr>
            <w:rFonts w:ascii="Times New Roman" w:hAnsi="Times New Roman" w:eastAsia="Arial Unicode MS"/>
            <w:i/>
          </w:rPr>
          <m:t>E</m:t>
        </m:r>
        <m:r>
          <m:rPr>
            <m:sty m:val="p"/>
          </m:rPr>
          <w:rPr>
            <w:rFonts w:ascii="Cambria Math" w:hAnsi="Cambria Math" w:eastAsia="Arial Unicode MS"/>
          </w:rPr>
          <m:t>=</m:t>
        </m:r>
        <m:nary>
          <m:naryPr>
            <m:chr m:val="∑"/>
            <m:limLoc m:val="undOvr"/>
            <m:ctrlPr>
              <w:rPr>
                <w:rFonts w:ascii="Cambria Math" w:hAnsi="Cambria Math" w:eastAsia="Arial Unicode MS"/>
              </w:rPr>
            </m:ctrlPr>
          </m:naryPr>
          <m:sub>
            <m:r>
              <m:rPr/>
              <w:rPr>
                <w:rFonts w:ascii="Cambria Math" w:hAnsi="Cambria Math" w:eastAsia="Arial Unicode MS"/>
              </w:rPr>
              <m:t>i=1</m:t>
            </m:r>
            <m:ctrlPr>
              <w:rPr>
                <w:rFonts w:ascii="Cambria Math" w:hAnsi="Cambria Math" w:eastAsia="Arial Unicode MS"/>
              </w:rPr>
            </m:ctrlPr>
          </m:sub>
          <m:sup>
            <m:r>
              <m:rPr/>
              <w:rPr>
                <w:rFonts w:ascii="Cambria Math" w:hAnsi="Cambria Math" w:eastAsia="Arial Unicode MS"/>
              </w:rPr>
              <m:t>n</m:t>
            </m:r>
            <m:ctrlPr>
              <w:rPr>
                <w:rFonts w:ascii="Cambria Math" w:hAnsi="Cambria Math" w:eastAsia="Arial Unicode MS"/>
              </w:rPr>
            </m:ctrlPr>
          </m:sup>
          <m:e>
            <m:d>
              <m:dPr>
                <m:ctrlPr>
                  <w:rPr>
                    <w:rFonts w:ascii="Cambria Math" w:hAnsi="Cambria Math" w:eastAsia="Arial Unicode MS"/>
                    <w:i/>
                  </w:rPr>
                </m:ctrlPr>
              </m:dPr>
              <m:e>
                <m:sSub>
                  <m:sSubPr>
                    <m:ctrlPr>
                      <w:rPr>
                        <w:rFonts w:ascii="Cambria Math" w:hAnsi="Cambria Math" w:eastAsia="Arial Unicode MS"/>
                        <w:i/>
                      </w:rPr>
                    </m:ctrlPr>
                  </m:sSubPr>
                  <m:e>
                    <m:r>
                      <m:rPr/>
                      <w:rPr>
                        <w:rFonts w:ascii="Cambria Math" w:hAnsi="Cambria Math" w:eastAsia="Arial Unicode MS"/>
                      </w:rPr>
                      <m:t>E</m:t>
                    </m:r>
                    <m:ctrlPr>
                      <w:rPr>
                        <w:rFonts w:ascii="Cambria Math" w:hAnsi="Cambria Math" w:eastAsia="Arial Unicode MS"/>
                        <w:i/>
                      </w:rPr>
                    </m:ctrlPr>
                  </m:e>
                  <m:sub>
                    <m:r>
                      <m:rPr/>
                      <w:rPr>
                        <w:rFonts w:ascii="Cambria Math" w:hAnsi="Cambria Math" w:eastAsia="Arial Unicode MS"/>
                      </w:rPr>
                      <m:t>i</m:t>
                    </m:r>
                    <m:ctrlPr>
                      <w:rPr>
                        <w:rFonts w:ascii="Cambria Math" w:hAnsi="Cambria Math" w:eastAsia="Arial Unicode MS"/>
                        <w:i/>
                      </w:rPr>
                    </m:ctrlPr>
                  </m:sub>
                </m:sSub>
                <m:r>
                  <m:rPr/>
                  <w:rPr>
                    <w:rFonts w:ascii="Cambria Math" w:hAnsi="Cambria Math" w:eastAsia="Arial Unicode MS"/>
                  </w:rPr>
                  <m:t>×</m:t>
                </m:r>
                <m:sSub>
                  <m:sSubPr>
                    <m:ctrlPr>
                      <w:rPr>
                        <w:rFonts w:ascii="Cambria Math" w:hAnsi="Cambria Math" w:eastAsia="Arial Unicode MS"/>
                        <w:i/>
                      </w:rPr>
                    </m:ctrlPr>
                  </m:sSubPr>
                  <m:e>
                    <m:r>
                      <m:rPr/>
                      <w:rPr>
                        <w:rFonts w:ascii="Cambria Math" w:hAnsi="Cambria Math" w:eastAsia="Arial Unicode MS"/>
                      </w:rPr>
                      <m:t>k</m:t>
                    </m:r>
                    <m:ctrlPr>
                      <w:rPr>
                        <w:rFonts w:ascii="Cambria Math" w:hAnsi="Cambria Math" w:eastAsia="Arial Unicode MS"/>
                        <w:i/>
                      </w:rPr>
                    </m:ctrlPr>
                  </m:e>
                  <m:sub>
                    <m:r>
                      <m:rPr/>
                      <w:rPr>
                        <w:rFonts w:ascii="Cambria Math" w:hAnsi="Cambria Math" w:eastAsia="Arial Unicode MS"/>
                      </w:rPr>
                      <m:t>i</m:t>
                    </m:r>
                    <m:ctrlPr>
                      <w:rPr>
                        <w:rFonts w:ascii="Cambria Math" w:hAnsi="Cambria Math" w:eastAsia="Arial Unicode MS"/>
                        <w:i/>
                      </w:rPr>
                    </m:ctrlPr>
                  </m:sub>
                </m:sSub>
                <m:ctrlPr>
                  <w:rPr>
                    <w:rFonts w:ascii="Cambria Math" w:hAnsi="Cambria Math" w:eastAsia="Arial Unicode MS"/>
                    <w:i/>
                  </w:rPr>
                </m:ctrlPr>
              </m:e>
            </m:d>
            <m:ctrlPr>
              <w:rPr>
                <w:rFonts w:ascii="Cambria Math" w:hAnsi="Cambria Math" w:eastAsia="Arial Unicode MS"/>
              </w:rPr>
            </m:ctrlPr>
          </m:e>
        </m:nary>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pPr>
      <w:r>
        <w:rPr>
          <w:rFonts w:hint="eastAsia"/>
        </w:rPr>
        <w:t>式中：</w:t>
      </w:r>
    </w:p>
    <w:p>
      <w:pPr>
        <w:pStyle w:val="56"/>
        <w:ind w:firstLine="420"/>
        <w:rPr>
          <w:rFonts w:hAnsi="宋体"/>
        </w:rPr>
      </w:pPr>
      <w:r>
        <w:rPr>
          <w:rFonts w:hint="eastAsia" w:hAnsi="宋体"/>
          <w:i/>
        </w:rPr>
        <w:t>E</w:t>
      </w:r>
      <w:r>
        <w:rPr>
          <w:rFonts w:ascii="Times New Roman"/>
          <w:i/>
        </w:rPr>
        <w:t xml:space="preserve"> </w:t>
      </w:r>
      <w:r>
        <w:rPr>
          <w:rFonts w:ascii="Times New Roman"/>
        </w:rPr>
        <w:t>——</w:t>
      </w:r>
      <w:r>
        <w:rPr>
          <w:rFonts w:hint="eastAsia" w:ascii="Times New Roman"/>
        </w:rPr>
        <w:t xml:space="preserve"> </w:t>
      </w:r>
      <w:r>
        <w:rPr>
          <w:rFonts w:hint="eastAsia" w:hAnsi="宋体"/>
        </w:rPr>
        <w:t>统计报告期内，白酒原酒综合能耗，单位为千克标准煤（</w:t>
      </w:r>
      <w:r>
        <w:rPr>
          <w:rFonts w:hAnsi="宋体"/>
        </w:rPr>
        <w:t>kgce</w:t>
      </w:r>
      <w:r>
        <w:rPr>
          <w:rFonts w:hint="eastAsia" w:hAnsi="宋体"/>
        </w:rPr>
        <w:t>）；</w:t>
      </w:r>
    </w:p>
    <w:p>
      <w:pPr>
        <w:pStyle w:val="56"/>
        <w:ind w:firstLine="420"/>
        <w:rPr>
          <w:rFonts w:hAnsi="宋体"/>
        </w:rPr>
      </w:pPr>
      <w:r>
        <w:rPr>
          <w:rFonts w:hint="eastAsia" w:hAnsi="宋体"/>
          <w:i/>
        </w:rPr>
        <w:t xml:space="preserve">n </w:t>
      </w:r>
      <w:r>
        <w:rPr>
          <w:rFonts w:ascii="Times New Roman"/>
          <w:i/>
        </w:rPr>
        <w:t>——</w:t>
      </w:r>
      <w:r>
        <w:rPr>
          <w:rFonts w:hint="eastAsia" w:ascii="Times New Roman"/>
          <w:i/>
        </w:rPr>
        <w:t xml:space="preserve"> </w:t>
      </w:r>
      <w:r>
        <w:rPr>
          <w:rFonts w:hint="eastAsia" w:hAnsi="宋体"/>
        </w:rPr>
        <w:t>统计报告期内，消耗的能源种类数；</w:t>
      </w:r>
    </w:p>
    <w:p>
      <w:pPr>
        <w:pStyle w:val="56"/>
        <w:ind w:firstLine="420"/>
        <w:rPr>
          <w:rFonts w:hAnsi="宋体"/>
        </w:rPr>
      </w:pPr>
      <w:r>
        <w:rPr>
          <w:rFonts w:hint="eastAsia" w:hAnsi="宋体"/>
          <w:i/>
        </w:rPr>
        <w:t>E</w:t>
      </w:r>
      <w:r>
        <w:rPr>
          <w:rFonts w:hint="eastAsia" w:hAnsi="宋体"/>
          <w:i/>
          <w:vertAlign w:val="subscript"/>
        </w:rPr>
        <w:t xml:space="preserve">i </w:t>
      </w:r>
      <w:r>
        <w:rPr>
          <w:rFonts w:ascii="Times New Roman"/>
          <w:i/>
        </w:rPr>
        <w:t>——</w:t>
      </w:r>
      <w:r>
        <w:rPr>
          <w:rFonts w:hint="eastAsia" w:ascii="Times New Roman"/>
          <w:i/>
        </w:rPr>
        <w:t xml:space="preserve"> </w:t>
      </w:r>
      <w:r>
        <w:rPr>
          <w:rFonts w:hint="eastAsia" w:hAnsi="宋体"/>
        </w:rPr>
        <w:t>统计报告期内，白酒原酒</w:t>
      </w:r>
      <w:r>
        <w:rPr>
          <w:rFonts w:hint="eastAsia" w:hAnsi="宋体" w:cs="宋体"/>
          <w:szCs w:val="22"/>
        </w:rPr>
        <w:t>生产消耗的第</w:t>
      </w:r>
      <w:r>
        <w:rPr>
          <w:rFonts w:hAnsi="宋体"/>
          <w:i/>
          <w:szCs w:val="22"/>
        </w:rPr>
        <w:t>i</w:t>
      </w:r>
      <w:r>
        <w:rPr>
          <w:rFonts w:hint="eastAsia" w:hAnsi="宋体" w:cs="宋体"/>
          <w:szCs w:val="22"/>
        </w:rPr>
        <w:t>种能源实物量</w:t>
      </w:r>
      <w:r>
        <w:rPr>
          <w:rFonts w:hint="eastAsia" w:hAnsi="宋体"/>
        </w:rPr>
        <w:t>；</w:t>
      </w:r>
    </w:p>
    <w:p>
      <w:pPr>
        <w:pStyle w:val="56"/>
        <w:ind w:firstLine="420"/>
        <w:rPr>
          <w:rFonts w:hAnsi="宋体"/>
        </w:rPr>
      </w:pPr>
      <w:r>
        <w:rPr>
          <w:rFonts w:hint="eastAsia" w:hAnsi="宋体"/>
          <w:i/>
        </w:rPr>
        <w:t>k</w:t>
      </w:r>
      <w:r>
        <w:rPr>
          <w:rFonts w:hint="eastAsia" w:hAnsi="宋体"/>
          <w:i/>
          <w:vertAlign w:val="subscript"/>
        </w:rPr>
        <w:t xml:space="preserve">i </w:t>
      </w:r>
      <w:r>
        <w:rPr>
          <w:rFonts w:ascii="Times New Roman"/>
          <w:i/>
        </w:rPr>
        <w:t>——</w:t>
      </w:r>
      <w:r>
        <w:rPr>
          <w:rFonts w:hint="eastAsia" w:ascii="Times New Roman"/>
          <w:i/>
        </w:rPr>
        <w:t xml:space="preserve"> </w:t>
      </w:r>
      <w:r>
        <w:rPr>
          <w:rFonts w:hint="eastAsia" w:hAnsi="宋体"/>
        </w:rPr>
        <w:t>统计报告期内，</w:t>
      </w:r>
      <w:r>
        <w:rPr>
          <w:rFonts w:hint="eastAsia" w:hAnsi="宋体" w:cs="宋体"/>
          <w:szCs w:val="22"/>
        </w:rPr>
        <w:t>第</w:t>
      </w:r>
      <w:r>
        <w:rPr>
          <w:rFonts w:hAnsi="宋体"/>
          <w:i/>
          <w:szCs w:val="22"/>
        </w:rPr>
        <w:t>i</w:t>
      </w:r>
      <w:r>
        <w:rPr>
          <w:rFonts w:hint="eastAsia" w:hAnsi="宋体" w:cs="宋体"/>
          <w:szCs w:val="22"/>
        </w:rPr>
        <w:t>种能源的折标准煤系数</w:t>
      </w:r>
      <w:r>
        <w:rPr>
          <w:rFonts w:hint="eastAsia" w:hAnsi="宋体"/>
        </w:rPr>
        <w:t>。</w:t>
      </w:r>
    </w:p>
    <w:p>
      <w:pPr>
        <w:pStyle w:val="65"/>
        <w:spacing w:before="156" w:after="156"/>
        <w:rPr>
          <w:rFonts w:ascii="宋体" w:eastAsia="宋体"/>
        </w:rPr>
      </w:pPr>
      <w:r>
        <w:rPr>
          <w:rFonts w:hint="eastAsia" w:ascii="宋体" w:eastAsia="宋体"/>
        </w:rPr>
        <w:t>白酒原酒单位产品综合能耗按式（2）计算：</w:t>
      </w:r>
    </w:p>
    <w:p>
      <w:pPr>
        <w:pStyle w:val="113"/>
      </w:pPr>
      <w:r>
        <w:tab/>
      </w:r>
      <m:oMath>
        <m:r>
          <m:rPr/>
          <w:rPr>
            <w:rFonts w:ascii="Cambria Math" w:hAnsi="Cambria Math"/>
          </w:rPr>
          <m:t>e=</m:t>
        </m:r>
        <m:f>
          <m:fPr>
            <m:ctrlPr>
              <w:rPr>
                <w:rFonts w:ascii="Cambria Math" w:hAnsi="Cambria Math"/>
                <w:i/>
              </w:rPr>
            </m:ctrlPr>
          </m:fPr>
          <m:num>
            <m:r>
              <m:rPr/>
              <w:rPr>
                <w:rFonts w:ascii="Cambria Math" w:hAnsi="Cambria Math"/>
              </w:rPr>
              <m:t>E</m:t>
            </m:r>
            <m:ctrlPr>
              <w:rPr>
                <w:rFonts w:ascii="Cambria Math" w:hAnsi="Cambria Math"/>
                <w:i/>
              </w:rPr>
            </m:ctrlPr>
          </m:num>
          <m:den>
            <m:r>
              <m:rPr/>
              <w:rPr>
                <w:rFonts w:ascii="Cambria Math" w:hAnsi="Cambria Math"/>
              </w:rPr>
              <m:t>P</m:t>
            </m:r>
            <m:ctrlPr>
              <w:rPr>
                <w:rFonts w:ascii="Cambria Math" w:hAnsi="Cambria Math"/>
                <w:i/>
              </w:rPr>
            </m:ctrlPr>
          </m:den>
        </m:f>
      </m:oMath>
      <w:r>
        <w:rPr>
          <w:rFonts w:ascii="微软雅黑" w:hAnsi="微软雅黑" w:eastAsia="微软雅黑"/>
        </w:rPr>
        <w:tab/>
      </w:r>
      <w:r>
        <w:t>(</w:t>
      </w:r>
      <w:r>
        <w:rPr>
          <w:rFonts w:hint="eastAsia"/>
        </w:rPr>
        <w:t>2</w:t>
      </w:r>
      <w:r>
        <w:t>)</w:t>
      </w:r>
    </w:p>
    <w:p>
      <w:pPr>
        <w:pStyle w:val="55"/>
        <w:ind w:firstLine="420"/>
      </w:pPr>
      <w:r>
        <w:rPr>
          <w:rFonts w:hint="eastAsia"/>
        </w:rPr>
        <w:t>式中：</w:t>
      </w:r>
    </w:p>
    <w:p>
      <w:pPr>
        <w:pStyle w:val="56"/>
        <w:ind w:firstLine="420"/>
        <w:rPr>
          <w:rFonts w:hAnsi="宋体"/>
          <w:szCs w:val="22"/>
        </w:rPr>
      </w:pPr>
      <w:r>
        <w:rPr>
          <w:rFonts w:hint="eastAsia" w:hAnsi="宋体"/>
          <w:i/>
        </w:rPr>
        <w:t>e</w:t>
      </w:r>
      <w:r>
        <w:rPr>
          <w:rFonts w:hint="eastAsia" w:ascii="Times New Roman"/>
          <w:i/>
        </w:rPr>
        <w:t xml:space="preserve"> </w:t>
      </w:r>
      <w:r>
        <w:rPr>
          <w:rFonts w:ascii="Times New Roman"/>
        </w:rPr>
        <w:t>——</w:t>
      </w:r>
      <w:r>
        <w:rPr>
          <w:rFonts w:hint="eastAsia" w:ascii="Times New Roman"/>
        </w:rPr>
        <w:t xml:space="preserve"> </w:t>
      </w:r>
      <w:r>
        <w:rPr>
          <w:rFonts w:hint="eastAsia" w:hAnsi="宋体"/>
        </w:rPr>
        <w:t>统计报告期内，</w:t>
      </w:r>
      <w:r>
        <w:rPr>
          <w:rFonts w:hint="eastAsia"/>
        </w:rPr>
        <w:t>白酒原酒</w:t>
      </w:r>
      <w:r>
        <w:rPr>
          <w:rFonts w:hint="eastAsia" w:hAnsi="宋体"/>
          <w:szCs w:val="22"/>
        </w:rPr>
        <w:t>单位产品综合能耗，单位为千克标准煤每千升（</w:t>
      </w:r>
      <w:r>
        <w:rPr>
          <w:rFonts w:hint="eastAsia"/>
        </w:rPr>
        <w:t>kgce/kL</w:t>
      </w:r>
      <w:r>
        <w:rPr>
          <w:rFonts w:hint="eastAsia" w:hAnsi="宋体"/>
          <w:szCs w:val="22"/>
        </w:rPr>
        <w:t>）。</w:t>
      </w:r>
    </w:p>
    <w:p>
      <w:pPr>
        <w:pStyle w:val="56"/>
        <w:ind w:firstLine="420"/>
        <w:rPr>
          <w:rFonts w:hAnsi="宋体"/>
          <w:szCs w:val="22"/>
        </w:rPr>
      </w:pPr>
      <w:r>
        <w:rPr>
          <w:rFonts w:hint="eastAsia"/>
          <w:i/>
        </w:rPr>
        <w:t>P</w:t>
      </w:r>
      <w:r>
        <w:rPr>
          <w:rFonts w:hint="eastAsia"/>
          <w:i/>
          <w:vertAlign w:val="subscript"/>
        </w:rPr>
        <w:t xml:space="preserve"> </w:t>
      </w:r>
      <w:r>
        <w:rPr>
          <w:rFonts w:ascii="Times New Roman"/>
        </w:rPr>
        <w:t>——</w:t>
      </w:r>
      <w:r>
        <w:rPr>
          <w:rFonts w:hint="eastAsia" w:ascii="Times New Roman"/>
        </w:rPr>
        <w:t xml:space="preserve"> </w:t>
      </w:r>
      <w:r>
        <w:rPr>
          <w:rFonts w:hint="eastAsia" w:hAnsi="宋体"/>
        </w:rPr>
        <w:t>统计报告期内，</w:t>
      </w:r>
      <w:r>
        <w:rPr>
          <w:rFonts w:hint="eastAsia" w:ascii="Times New Roman"/>
        </w:rPr>
        <w:t>白酒原酒</w:t>
      </w:r>
      <w:r>
        <w:rPr>
          <w:rFonts w:hint="eastAsia"/>
        </w:rPr>
        <w:t>合格产品产量，单位为千升（kL）。</w:t>
      </w:r>
    </w:p>
    <w:bookmarkEnd w:id="22"/>
    <w:p>
      <w:pPr>
        <w:pStyle w:val="56"/>
        <w:ind w:firstLine="0" w:firstLineChars="0"/>
        <w:jc w:val="center"/>
      </w:pPr>
      <w:bookmarkStart w:id="41"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stretch>
                      <a:fillRect/>
                    </a:stretch>
                  </pic:blipFill>
                  <pic:spPr>
                    <a:xfrm>
                      <a:off x="0" y="0"/>
                      <a:ext cx="1485900" cy="317500"/>
                    </a:xfrm>
                    <a:prstGeom prst="rect">
                      <a:avLst/>
                    </a:prstGeom>
                  </pic:spPr>
                </pic:pic>
              </a:graphicData>
            </a:graphic>
          </wp:inline>
        </w:drawing>
      </w:r>
      <w:bookmarkEnd w:id="41"/>
    </w:p>
    <w:sectPr>
      <w:headerReference r:id="rId15" w:type="default"/>
      <w:footerReference r:id="rId17" w:type="default"/>
      <w:headerReference r:id="rId16" w:type="even"/>
      <w:footerReference r:id="rId18" w:type="even"/>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45/T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45/T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45/T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45/T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ZWE5YjRlYzNiZmY3NTE0NGQ5NGRiZjI3YjJmZmEifQ=="/>
  </w:docVars>
  <w:rsids>
    <w:rsidRoot w:val="00A34A29"/>
    <w:rsid w:val="0000040A"/>
    <w:rsid w:val="00000A94"/>
    <w:rsid w:val="00001972"/>
    <w:rsid w:val="00001D9A"/>
    <w:rsid w:val="0000221F"/>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635"/>
    <w:rsid w:val="000A296B"/>
    <w:rsid w:val="000A30EE"/>
    <w:rsid w:val="000A7311"/>
    <w:rsid w:val="000A7FF1"/>
    <w:rsid w:val="000B060F"/>
    <w:rsid w:val="000B1592"/>
    <w:rsid w:val="000B1FF2"/>
    <w:rsid w:val="000B3CDA"/>
    <w:rsid w:val="000B4526"/>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435"/>
    <w:rsid w:val="000F4AEA"/>
    <w:rsid w:val="000F633F"/>
    <w:rsid w:val="000F67E9"/>
    <w:rsid w:val="00100540"/>
    <w:rsid w:val="00104926"/>
    <w:rsid w:val="00113B1E"/>
    <w:rsid w:val="0011711C"/>
    <w:rsid w:val="00117A15"/>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96B"/>
    <w:rsid w:val="00145D9D"/>
    <w:rsid w:val="00146388"/>
    <w:rsid w:val="001529E5"/>
    <w:rsid w:val="00153C7E"/>
    <w:rsid w:val="00156B25"/>
    <w:rsid w:val="00156E1A"/>
    <w:rsid w:val="00157894"/>
    <w:rsid w:val="00157B55"/>
    <w:rsid w:val="00163FA3"/>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586"/>
    <w:rsid w:val="00193A07"/>
    <w:rsid w:val="00194C95"/>
    <w:rsid w:val="00195C34"/>
    <w:rsid w:val="001967B9"/>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5AC2"/>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5FAC"/>
    <w:rsid w:val="002D6EC6"/>
    <w:rsid w:val="002D79AC"/>
    <w:rsid w:val="002E039D"/>
    <w:rsid w:val="002E4D5A"/>
    <w:rsid w:val="002E6326"/>
    <w:rsid w:val="002F30E0"/>
    <w:rsid w:val="002F35E4"/>
    <w:rsid w:val="002F3730"/>
    <w:rsid w:val="002F38E1"/>
    <w:rsid w:val="002F5E97"/>
    <w:rsid w:val="002F7AF6"/>
    <w:rsid w:val="00300E63"/>
    <w:rsid w:val="00302F5F"/>
    <w:rsid w:val="0030441D"/>
    <w:rsid w:val="00306063"/>
    <w:rsid w:val="00313B85"/>
    <w:rsid w:val="00317988"/>
    <w:rsid w:val="003221B4"/>
    <w:rsid w:val="0032258D"/>
    <w:rsid w:val="00322E62"/>
    <w:rsid w:val="00324D13"/>
    <w:rsid w:val="00324D2A"/>
    <w:rsid w:val="00324EDD"/>
    <w:rsid w:val="003256B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87CA4"/>
    <w:rsid w:val="00390020"/>
    <w:rsid w:val="003903D6"/>
    <w:rsid w:val="00390EE6"/>
    <w:rsid w:val="0039118F"/>
    <w:rsid w:val="00392AD7"/>
    <w:rsid w:val="003938D9"/>
    <w:rsid w:val="00394376"/>
    <w:rsid w:val="003943FF"/>
    <w:rsid w:val="00395700"/>
    <w:rsid w:val="003974EB"/>
    <w:rsid w:val="00397CC5"/>
    <w:rsid w:val="003A1582"/>
    <w:rsid w:val="003A4077"/>
    <w:rsid w:val="003B0616"/>
    <w:rsid w:val="003B09AD"/>
    <w:rsid w:val="003B1F18"/>
    <w:rsid w:val="003B4CC5"/>
    <w:rsid w:val="003B5BF0"/>
    <w:rsid w:val="003B60BF"/>
    <w:rsid w:val="003B6BE3"/>
    <w:rsid w:val="003C010C"/>
    <w:rsid w:val="003C0A6C"/>
    <w:rsid w:val="003C14F8"/>
    <w:rsid w:val="003C5A43"/>
    <w:rsid w:val="003C62D9"/>
    <w:rsid w:val="003C6339"/>
    <w:rsid w:val="003D0519"/>
    <w:rsid w:val="003D0FF6"/>
    <w:rsid w:val="003D262C"/>
    <w:rsid w:val="003D6D61"/>
    <w:rsid w:val="003E091D"/>
    <w:rsid w:val="003E1C53"/>
    <w:rsid w:val="003E2A69"/>
    <w:rsid w:val="003E2D49"/>
    <w:rsid w:val="003E2FD4"/>
    <w:rsid w:val="003E49F6"/>
    <w:rsid w:val="003E660F"/>
    <w:rsid w:val="003F0841"/>
    <w:rsid w:val="003F142A"/>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6320"/>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2F36"/>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444"/>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1582"/>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0CF"/>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4557"/>
    <w:rsid w:val="006252D8"/>
    <w:rsid w:val="006259BC"/>
    <w:rsid w:val="0062636B"/>
    <w:rsid w:val="00632182"/>
    <w:rsid w:val="00632AE0"/>
    <w:rsid w:val="00633C17"/>
    <w:rsid w:val="00634D9E"/>
    <w:rsid w:val="00636E3E"/>
    <w:rsid w:val="006379F7"/>
    <w:rsid w:val="00637E4D"/>
    <w:rsid w:val="00640620"/>
    <w:rsid w:val="00641A1F"/>
    <w:rsid w:val="00645904"/>
    <w:rsid w:val="006511A0"/>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8FF"/>
    <w:rsid w:val="006770F4"/>
    <w:rsid w:val="00677A84"/>
    <w:rsid w:val="0068026D"/>
    <w:rsid w:val="00680488"/>
    <w:rsid w:val="00680A27"/>
    <w:rsid w:val="006816A4"/>
    <w:rsid w:val="006819B8"/>
    <w:rsid w:val="006840A6"/>
    <w:rsid w:val="006850CD"/>
    <w:rsid w:val="00685AAB"/>
    <w:rsid w:val="006939EC"/>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1D7E"/>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2EFE"/>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13E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13B4"/>
    <w:rsid w:val="007E6E8F"/>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5E9D"/>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4FE"/>
    <w:rsid w:val="00867C10"/>
    <w:rsid w:val="00870439"/>
    <w:rsid w:val="00870DA1"/>
    <w:rsid w:val="0088130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1CC"/>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5C60"/>
    <w:rsid w:val="009610DC"/>
    <w:rsid w:val="00961490"/>
    <w:rsid w:val="0096381A"/>
    <w:rsid w:val="00965E04"/>
    <w:rsid w:val="009674AD"/>
    <w:rsid w:val="00970CDC"/>
    <w:rsid w:val="00972072"/>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4900"/>
    <w:rsid w:val="00A0096C"/>
    <w:rsid w:val="00A01757"/>
    <w:rsid w:val="00A028C0"/>
    <w:rsid w:val="00A02BAE"/>
    <w:rsid w:val="00A06A6B"/>
    <w:rsid w:val="00A07E47"/>
    <w:rsid w:val="00A129D0"/>
    <w:rsid w:val="00A12C33"/>
    <w:rsid w:val="00A138BA"/>
    <w:rsid w:val="00A14C8E"/>
    <w:rsid w:val="00A153D9"/>
    <w:rsid w:val="00A15F09"/>
    <w:rsid w:val="00A169B6"/>
    <w:rsid w:val="00A20B04"/>
    <w:rsid w:val="00A2271D"/>
    <w:rsid w:val="00A237D5"/>
    <w:rsid w:val="00A30EFC"/>
    <w:rsid w:val="00A31984"/>
    <w:rsid w:val="00A32D73"/>
    <w:rsid w:val="00A3367B"/>
    <w:rsid w:val="00A34A29"/>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552"/>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C87"/>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6B8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2F"/>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346"/>
    <w:rsid w:val="00BE22F3"/>
    <w:rsid w:val="00BE3FC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490"/>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AB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44C"/>
    <w:rsid w:val="00D20737"/>
    <w:rsid w:val="00D21E81"/>
    <w:rsid w:val="00D223DE"/>
    <w:rsid w:val="00D25E37"/>
    <w:rsid w:val="00D2661A"/>
    <w:rsid w:val="00D27582"/>
    <w:rsid w:val="00D27EC4"/>
    <w:rsid w:val="00D32719"/>
    <w:rsid w:val="00D33333"/>
    <w:rsid w:val="00D33457"/>
    <w:rsid w:val="00D352A2"/>
    <w:rsid w:val="00D4162B"/>
    <w:rsid w:val="00D4316A"/>
    <w:rsid w:val="00D4514F"/>
    <w:rsid w:val="00D451E2"/>
    <w:rsid w:val="00D45E89"/>
    <w:rsid w:val="00D45E8D"/>
    <w:rsid w:val="00D466AE"/>
    <w:rsid w:val="00D4734F"/>
    <w:rsid w:val="00D51BF3"/>
    <w:rsid w:val="00D529A6"/>
    <w:rsid w:val="00D60206"/>
    <w:rsid w:val="00D63903"/>
    <w:rsid w:val="00D66846"/>
    <w:rsid w:val="00D675FB"/>
    <w:rsid w:val="00D71F25"/>
    <w:rsid w:val="00D72A9C"/>
    <w:rsid w:val="00D77031"/>
    <w:rsid w:val="00D84941"/>
    <w:rsid w:val="00D84FA1"/>
    <w:rsid w:val="00D851F0"/>
    <w:rsid w:val="00D86DB7"/>
    <w:rsid w:val="00D907A0"/>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52E"/>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D7291"/>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1DC5"/>
    <w:rsid w:val="00E122BE"/>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807"/>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0980"/>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47BCA"/>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88B"/>
    <w:rsid w:val="00FD59EB"/>
    <w:rsid w:val="00FD7299"/>
    <w:rsid w:val="00FE1FBE"/>
    <w:rsid w:val="00FE3369"/>
    <w:rsid w:val="00FE3901"/>
    <w:rsid w:val="00FE39D3"/>
    <w:rsid w:val="00FE4BCE"/>
    <w:rsid w:val="00FE54AE"/>
    <w:rsid w:val="00FE576A"/>
    <w:rsid w:val="00FE7E79"/>
    <w:rsid w:val="00FF3E7D"/>
    <w:rsid w:val="00FF5B99"/>
    <w:rsid w:val="00FF730C"/>
    <w:rsid w:val="00FF73F4"/>
    <w:rsid w:val="00FF7CE4"/>
    <w:rsid w:val="00FF7E39"/>
    <w:rsid w:val="03265180"/>
    <w:rsid w:val="09081222"/>
    <w:rsid w:val="18D06A7D"/>
    <w:rsid w:val="1ACC59A2"/>
    <w:rsid w:val="1B1A2A1B"/>
    <w:rsid w:val="1C8A76BC"/>
    <w:rsid w:val="27C16F46"/>
    <w:rsid w:val="2BCF7281"/>
    <w:rsid w:val="2C411FF6"/>
    <w:rsid w:val="337827C2"/>
    <w:rsid w:val="3A507E34"/>
    <w:rsid w:val="3E2A02AE"/>
    <w:rsid w:val="435436B5"/>
    <w:rsid w:val="45327CE0"/>
    <w:rsid w:val="47027F36"/>
    <w:rsid w:val="4E2B250A"/>
    <w:rsid w:val="53163694"/>
    <w:rsid w:val="552F457F"/>
    <w:rsid w:val="597E1687"/>
    <w:rsid w:val="5C331B5F"/>
    <w:rsid w:val="5DD63AE1"/>
    <w:rsid w:val="63894210"/>
    <w:rsid w:val="66D903C7"/>
    <w:rsid w:val="6ACB552D"/>
    <w:rsid w:val="6C040F0E"/>
    <w:rsid w:val="6CD23218"/>
    <w:rsid w:val="6E866596"/>
    <w:rsid w:val="6FF24840"/>
    <w:rsid w:val="70593970"/>
    <w:rsid w:val="74222542"/>
    <w:rsid w:val="74645D0D"/>
    <w:rsid w:val="7632306E"/>
    <w:rsid w:val="77383B2B"/>
    <w:rsid w:val="79CD5CFE"/>
    <w:rsid w:val="7DD747C4"/>
    <w:rsid w:val="7F1E2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Char"/>
    <w:link w:val="2"/>
    <w:autoRedefine/>
    <w:qFormat/>
    <w:uiPriority w:val="0"/>
    <w:rPr>
      <w:rFonts w:ascii="Times New Roman" w:hAnsi="Times New Roman" w:eastAsia="宋体" w:cs="Times New Roman"/>
      <w:b/>
      <w:bCs/>
      <w:kern w:val="44"/>
      <w:sz w:val="44"/>
      <w:szCs w:val="44"/>
    </w:rPr>
  </w:style>
  <w:style w:type="character" w:customStyle="1" w:styleId="35">
    <w:name w:val="标题 2 Char"/>
    <w:link w:val="3"/>
    <w:autoRedefine/>
    <w:qFormat/>
    <w:uiPriority w:val="0"/>
    <w:rPr>
      <w:rFonts w:ascii="Arial" w:hAnsi="Arial" w:eastAsia="黑体" w:cs="Times New Roman"/>
      <w:b/>
      <w:bCs/>
      <w:sz w:val="32"/>
      <w:szCs w:val="32"/>
    </w:rPr>
  </w:style>
  <w:style w:type="character" w:customStyle="1" w:styleId="36">
    <w:name w:val="标题 3 Char"/>
    <w:link w:val="4"/>
    <w:autoRedefine/>
    <w:qFormat/>
    <w:uiPriority w:val="0"/>
    <w:rPr>
      <w:rFonts w:ascii="Times New Roman" w:hAnsi="Times New Roman" w:eastAsia="宋体" w:cs="Times New Roman"/>
      <w:b/>
      <w:bCs/>
      <w:sz w:val="32"/>
      <w:szCs w:val="32"/>
    </w:rPr>
  </w:style>
  <w:style w:type="character" w:customStyle="1" w:styleId="37">
    <w:name w:val="标题 4 Char"/>
    <w:link w:val="5"/>
    <w:autoRedefine/>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autoRedefine/>
    <w:qFormat/>
    <w:uiPriority w:val="0"/>
    <w:rPr>
      <w:rFonts w:ascii="Arial" w:hAnsi="Arial" w:eastAsia="黑体" w:cs="Times New Roman"/>
      <w:b/>
      <w:bCs/>
      <w:sz w:val="24"/>
      <w:szCs w:val="24"/>
    </w:rPr>
  </w:style>
  <w:style w:type="character" w:customStyle="1" w:styleId="40">
    <w:name w:val="标题 7 Char"/>
    <w:link w:val="8"/>
    <w:autoRedefine/>
    <w:qFormat/>
    <w:uiPriority w:val="0"/>
    <w:rPr>
      <w:rFonts w:ascii="Times New Roman" w:hAnsi="Times New Roman" w:eastAsia="宋体" w:cs="Times New Roman"/>
      <w:b/>
      <w:bCs/>
      <w:sz w:val="24"/>
      <w:szCs w:val="24"/>
    </w:rPr>
  </w:style>
  <w:style w:type="character" w:customStyle="1" w:styleId="41">
    <w:name w:val="标题 8 Char"/>
    <w:link w:val="9"/>
    <w:autoRedefine/>
    <w:qFormat/>
    <w:uiPriority w:val="0"/>
    <w:rPr>
      <w:rFonts w:ascii="Arial" w:hAnsi="Arial" w:eastAsia="黑体" w:cs="Times New Roman"/>
      <w:sz w:val="24"/>
      <w:szCs w:val="24"/>
    </w:rPr>
  </w:style>
  <w:style w:type="character" w:customStyle="1" w:styleId="42">
    <w:name w:val="标题 9 Char"/>
    <w:link w:val="10"/>
    <w:autoRedefine/>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autoRedefine/>
    <w:qFormat/>
    <w:uiPriority w:val="99"/>
    <w:rPr>
      <w:rFonts w:ascii="宋体" w:hAnsi="Times New Roman" w:eastAsia="宋体" w:cs="Times New Roman"/>
      <w:sz w:val="18"/>
      <w:szCs w:val="18"/>
    </w:rPr>
  </w:style>
  <w:style w:type="character" w:customStyle="1" w:styleId="45">
    <w:name w:val="批注框文本 Char"/>
    <w:link w:val="16"/>
    <w:autoRedefine/>
    <w:semiHidden/>
    <w:qFormat/>
    <w:uiPriority w:val="99"/>
    <w:rPr>
      <w:sz w:val="18"/>
      <w:szCs w:val="18"/>
    </w:rPr>
  </w:style>
  <w:style w:type="paragraph" w:styleId="46">
    <w:name w:val="Quote"/>
    <w:basedOn w:val="1"/>
    <w:next w:val="1"/>
    <w:link w:val="47"/>
    <w:autoRedefine/>
    <w:qFormat/>
    <w:uiPriority w:val="29"/>
    <w:rPr>
      <w:i/>
      <w:iCs/>
      <w:color w:val="000000"/>
    </w:rPr>
  </w:style>
  <w:style w:type="character" w:customStyle="1" w:styleId="47">
    <w:name w:val="引用 Char"/>
    <w:link w:val="46"/>
    <w:autoRedefine/>
    <w:qFormat/>
    <w:uiPriority w:val="29"/>
    <w:rPr>
      <w:i/>
      <w:iCs/>
      <w:color w:val="000000"/>
    </w:rPr>
  </w:style>
  <w:style w:type="character" w:customStyle="1" w:styleId="48">
    <w:name w:val="标题 Char"/>
    <w:link w:val="25"/>
    <w:autoRedefine/>
    <w:qFormat/>
    <w:uiPriority w:val="0"/>
    <w:rPr>
      <w:rFonts w:ascii="Arial" w:hAnsi="Arial" w:eastAsia="宋体" w:cs="Arial"/>
      <w:b/>
      <w:bCs/>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autoRedefine/>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ind w:left="0" w:firstLine="200"/>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autoRedefine/>
    <w:semiHidden/>
    <w:qFormat/>
    <w:uiPriority w:val="0"/>
    <w:rPr>
      <w:rFonts w:ascii="宋体" w:hAnsi="Times New Roman" w:eastAsia="宋体" w:cs="Times New Roman"/>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left="1271" w:hanging="420" w:firstLineChars="0"/>
    </w:pPr>
  </w:style>
  <w:style w:type="paragraph" w:customStyle="1" w:styleId="188">
    <w:name w:val="标准文件_三级项2"/>
    <w:basedOn w:val="56"/>
    <w:autoRedefine/>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24523D13A774DB4BB38CF5DDF7C15D5"/>
        <w:style w:val=""/>
        <w:category>
          <w:name w:val="常规"/>
          <w:gallery w:val="placeholder"/>
        </w:category>
        <w:types>
          <w:type w:val="bbPlcHdr"/>
        </w:types>
        <w:behaviors>
          <w:behavior w:val="content"/>
        </w:behaviors>
        <w:description w:val=""/>
        <w:guid w:val="{4164B467-EE14-449C-BF92-8F567B424D42}"/>
      </w:docPartPr>
      <w:docPartBody>
        <w:p>
          <w:pPr>
            <w:pStyle w:val="5"/>
          </w:pPr>
          <w:r>
            <w:rPr>
              <w:rStyle w:val="4"/>
              <w:rFonts w:hint="eastAsia"/>
            </w:rPr>
            <w:t>单击或点击此处输入文字。</w:t>
          </w:r>
        </w:p>
      </w:docPartBody>
    </w:docPart>
    <w:docPart>
      <w:docPartPr>
        <w:name w:val="A9BB47DD81D54985AE69A8558C566E4B"/>
        <w:style w:val=""/>
        <w:category>
          <w:name w:val="常规"/>
          <w:gallery w:val="placeholder"/>
        </w:category>
        <w:types>
          <w:type w:val="bbPlcHdr"/>
        </w:types>
        <w:behaviors>
          <w:behavior w:val="content"/>
        </w:behaviors>
        <w:description w:val=""/>
        <w:guid w:val="{D698C7E9-13F2-441E-A4CE-9BFE9327F9D0}"/>
      </w:docPartPr>
      <w:docPartBody>
        <w:p>
          <w:pPr>
            <w:pStyle w:val="6"/>
          </w:pPr>
          <w:r>
            <w:rPr>
              <w:rStyle w:val="4"/>
              <w:rFonts w:hint="eastAsia"/>
            </w:rPr>
            <w:t>选择一项。</w:t>
          </w:r>
        </w:p>
      </w:docPartBody>
    </w:docPart>
    <w:docPart>
      <w:docPartPr>
        <w:name w:val="F1CFAE89248447349AF10DE48163A670"/>
        <w:style w:val=""/>
        <w:category>
          <w:name w:val="常规"/>
          <w:gallery w:val="placeholder"/>
        </w:category>
        <w:types>
          <w:type w:val="bbPlcHdr"/>
        </w:types>
        <w:behaviors>
          <w:behavior w:val="content"/>
        </w:behaviors>
        <w:description w:val=""/>
        <w:guid w:val="{955B94B9-AFD8-47B1-8CB2-7229820EDA71}"/>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2F"/>
    <w:rsid w:val="0019589B"/>
    <w:rsid w:val="001F3E56"/>
    <w:rsid w:val="001F75B6"/>
    <w:rsid w:val="002066B1"/>
    <w:rsid w:val="00345F5F"/>
    <w:rsid w:val="0040461B"/>
    <w:rsid w:val="00550F0A"/>
    <w:rsid w:val="005D2A58"/>
    <w:rsid w:val="0067531C"/>
    <w:rsid w:val="006B6EBD"/>
    <w:rsid w:val="00855A49"/>
    <w:rsid w:val="00A379D4"/>
    <w:rsid w:val="00BA782F"/>
    <w:rsid w:val="00BD69E9"/>
    <w:rsid w:val="00C53A9F"/>
    <w:rsid w:val="00F73E56"/>
    <w:rsid w:val="00FD7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24523D13A774DB4BB38CF5DDF7C15D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9BB47DD81D54985AE69A8558C566E4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1CFAE89248447349AF10DE48163A6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6CD01-4D91-4A8E-ABA9-C179AA4F54B7}">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7</Pages>
  <Words>331</Words>
  <Characters>1890</Characters>
  <Lines>15</Lines>
  <Paragraphs>4</Paragraphs>
  <TotalTime>3</TotalTime>
  <ScaleCrop>false</ScaleCrop>
  <LinksUpToDate>false</LinksUpToDate>
  <CharactersWithSpaces>2217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2021-12-07T07:59:00Z</dcterms:created>
  <dc:creator>DELL</dc:creator>
  <dc:description>&lt;config cover="true" show_menu="true" version="1.0.0" doctype="SDKXY"&gt;_x000d_
&lt;/config&gt;</dc:description>
  <cp:lastModifiedBy>黄灯亮</cp:lastModifiedBy>
  <cp:lastPrinted>2023-03-16T07:22:00Z</cp:lastPrinted>
  <dcterms:modified xsi:type="dcterms:W3CDTF">2023-12-26T09:35:31Z</dcterms:modified>
  <dc:title>地方标准</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D0D038EAD8E1490CA50289B89B3FCBC2</vt:lpwstr>
  </property>
  <property fmtid="{D5CDD505-2E9C-101B-9397-08002B2CF9AE}" pid="16" name="DoublePage">
    <vt:lpwstr>true</vt:lpwstr>
  </property>
</Properties>
</file>